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关于《淳安县高层住宅二次供水管理实施意见》的起草说明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起草工作的背景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为深入贯彻落实杭州市第十三次党代会提出的“让老百姓喝上更干净的水”要求，对标建设“重要窗口”新目标新定位，践行以人民为中心的发展思想，以提升老旧高层住宅二次供水水质和服务质量为目标，通过加强我县高层住宅二次供水设施的建设和改造，强化规范化运维管理，提升居民生活饮用水品质，切实改善民生，扎实推进高质量发展建设共同富裕示范区，不断提升人民群众的幸福感和满意度。淳安县住房和城乡建设局起草编制了《淳安县高层住宅二次供水管理实施意见（征求意见稿）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实施的必要性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上级的要求。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杭州市主城区早在2015年就已经开始启动老旧小区高层住宅二次供水改造工作，当时该项工作只针对主城区，桐庐、淳安、建德三县市并未做要求，但根据省市等文件要求，从2022年起杭州市将二供改造工作纳入对桐庐、淳安、建德三县市考核中，特别是今年还纳入市民生实事项目。淳安在二供改造这项工作起步较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现实的需要。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次供水安全关系千家万户，是百姓关注的重中之重，目前我县高层住宅二次供水设施都是委托物业公司负责运维，物业公司人力、物力、技术、资金匮乏，实际运维效果不佳，很难保证用户得到高标准的用水服务，居民用水安全得不到保障。高层住宅二次供水设施改造事关民众的幸福指数，推进我县二供改造势在必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文件出台的主要依据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《关于加强和改进城镇居民二次供水设施建设与管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理确保水质安全的通知》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建城〔2015〕31号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《关于加强和改进杭州市高层住宅二次供水设施建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设与管理确保水质安全的实施意见》（杭城管委〔2015〕214号）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杭州市主城区高层住宅二次供水设施改造与管理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实施意见》（杭城管委〔2018〕2号）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《关于加强城市居民住宅二次供水设施建设与管理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的指导意见》（浙建〔2021〕4号）。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文件起草原则和主要内容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40" w:left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统一规范新建项目的二次供水设施建设，按照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“愿改尽改、成熟一批、改造一批、接管一批”的原则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加快改造现有高层住宅二次供水设施，并理顺运行维护管理体制，逐步委托供水企业管理，由供水企业管水到户，实现“同网、同价、同质、同服务”。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按照“规范新建、监管在建、改造已建”三个阶段，截断增量、改造存量，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确保我县高层住宅二次供水设施建设改造到位。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规范新建高层住宅二次供水设施。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新建高层住宅二次供水设施的工程必须严格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按照《杭州市新建高层住宅二次供水设施技术标准导则》执行，并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落实“三同时”原则。鼓励供水企业实施统建统管。二次供水设施经相关部门竣工验收合格后，建设单位向供水企业提出委托管理申请，提供所需资料，并与供水企业签订委托管理协议。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监管在建高层住宅二次供水设施。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在建高层住宅（开工但尚未竣工验收的）二次供水设施，督促建设单位严格按照《杭州市新建高层住宅二次供水设施技术标准导则》进行建设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。若验收不合格，按照技术标准导则有关要求进行整改。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整改验收合格后，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建设单位向供水企业提出委托管理申请，提供所需资料，并与供水企业签订委托管理协议。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3、改造已建高层住宅二次供水设施。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已建的住宅二次供水设施，按照“愿改尽改、成熟一批、改造一批、接管一批”的原则，由业主代表大会（或业主委员会）向供水企业提出改造申请，并会同供水企业制订改造方案，供水企业根据改造申请，对符合条件的进行分批改造接管，逐步实现管水到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明确二供改造范围及运维主体。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我县范围内采用总表制供水的存量高层住宅，且居民改造意愿强。改造完成后，供水企业作为二供设施的运维主体，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物业服务企业不再接受二次供水设施管理及相关服务的委托，统一委托供水企业进行管理。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5、明确改造资金来源。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新建二次供水设施，所需投资纳入工程项目总概算。已建住宅二次供水设施改造,采取“以政府补助为主，业主自行承担为辅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”的资金政策，改造资金由县财政、供水企业、居民按照比例多方合理承担。居民承担部分除业主自筹外也可以按相关程序从小区经营性收入、物业维修基金等渠道列支。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6、明确运行维护管理费用。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层住宅二次供水设施委托供水企业管理后，其水泵运行所产生的电费按原渠道收取，设备设施日常维修养护、大修、更新等费用由供水企业负责，计入供水企业运营成本。未委托供水企业管理的高层住宅二次供水设施，水泵运行所产生的电费，以及设备设施日常维修养护、大修、更新等费用按原渠道收取。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</w:p>
    <w:bookmarkEnd w:id="0"/>
    <w:p>
      <w:pPr>
        <w:pStyle w:val="3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4D006"/>
    <w:multiLevelType w:val="singleLevel"/>
    <w:tmpl w:val="9244D0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4AB053"/>
    <w:multiLevelType w:val="singleLevel"/>
    <w:tmpl w:val="A04AB053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2">
    <w:nsid w:val="0F7C63E2"/>
    <w:multiLevelType w:val="singleLevel"/>
    <w:tmpl w:val="0F7C63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4D7E61D"/>
    <w:multiLevelType w:val="singleLevel"/>
    <w:tmpl w:val="74D7E61D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ZGJkMGY3YWRhNzIyNzJlOTJlZTJjYjZjNDg2YWQifQ=="/>
  </w:docVars>
  <w:rsids>
    <w:rsidRoot w:val="6EED3624"/>
    <w:rsid w:val="0A2E4EA5"/>
    <w:rsid w:val="3EB4617D"/>
    <w:rsid w:val="4904405A"/>
    <w:rsid w:val="6EE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/>
      <w:outlineLvl w:val="1"/>
    </w:pPr>
    <w:rPr>
      <w:rFonts w:ascii="Cambria" w:hAnsi="Cambria" w:cs="Cambria"/>
      <w:b/>
      <w:bCs/>
      <w:kern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1749</Words>
  <Characters>1770</Characters>
  <Lines>0</Lines>
  <Paragraphs>0</Paragraphs>
  <TotalTime>28</TotalTime>
  <ScaleCrop>false</ScaleCrop>
  <LinksUpToDate>false</LinksUpToDate>
  <CharactersWithSpaces>1779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2022-07-20T01:11:00Z</dcterms:created>
  <dc:creator>叫我熊猫哥</dc:creator>
  <cp:lastModifiedBy>蓝色雨</cp:lastModifiedBy>
  <cp:lastPrinted>2022-07-20T08:09:00Z</cp:lastPrinted>
  <dcterms:modified xsi:type="dcterms:W3CDTF">2022-07-20T08:31:32Z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ABFB06B516304A83ABB1CBC75CE73C1B</vt:lpwstr>
  </property>
</Properties>
</file>