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bookmarkStart w:id="408" w:name="_GoBack"/>
      <w:bookmarkEnd w:id="408"/>
    </w:p>
    <w:p>
      <w:pPr>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两山公司一期（首批）项目建设支撑体系设备（5）巡护船（艇）采购项目（</w:t>
      </w:r>
      <w:r>
        <w:rPr>
          <w:rFonts w:hint="eastAsia" w:ascii="仿宋" w:hAnsi="仿宋" w:eastAsia="仿宋" w:cs="仿宋"/>
          <w:b/>
          <w:bCs/>
          <w:color w:val="auto"/>
          <w:sz w:val="44"/>
          <w:szCs w:val="44"/>
          <w:highlight w:val="none"/>
          <w:lang w:val="en-US" w:eastAsia="zh-CN"/>
        </w:rPr>
        <w:t>非政府采购</w:t>
      </w:r>
      <w:r>
        <w:rPr>
          <w:rFonts w:hint="eastAsia" w:ascii="仿宋" w:hAnsi="仿宋" w:eastAsia="仿宋" w:cs="仿宋"/>
          <w:b/>
          <w:bCs/>
          <w:color w:val="auto"/>
          <w:sz w:val="44"/>
          <w:szCs w:val="44"/>
          <w:highlight w:val="none"/>
          <w:lang w:eastAsia="zh-CN"/>
        </w:rPr>
        <w:t>）</w:t>
      </w:r>
    </w:p>
    <w:p>
      <w:pPr>
        <w:spacing w:line="360" w:lineRule="auto"/>
        <w:jc w:val="center"/>
        <w:rPr>
          <w:rFonts w:hint="eastAsia" w:ascii="仿宋" w:hAnsi="仿宋" w:eastAsia="仿宋" w:cs="仿宋"/>
          <w:b/>
          <w:sz w:val="32"/>
          <w:szCs w:val="32"/>
        </w:rPr>
      </w:pPr>
      <w:r>
        <w:rPr>
          <w:rFonts w:hint="eastAsia" w:ascii="仿宋" w:hAnsi="仿宋" w:eastAsia="仿宋" w:cs="仿宋"/>
          <w:b/>
          <w:sz w:val="36"/>
          <w:szCs w:val="36"/>
        </w:rPr>
        <w:t>公开招标</w:t>
      </w:r>
      <w:r>
        <w:rPr>
          <w:rFonts w:hint="eastAsia" w:ascii="仿宋" w:hAnsi="仿宋" w:eastAsia="仿宋" w:cs="仿宋"/>
          <w:b/>
          <w:sz w:val="32"/>
          <w:szCs w:val="32"/>
        </w:rPr>
        <w:t>（电子招投标）</w:t>
      </w:r>
    </w:p>
    <w:p>
      <w:pPr>
        <w:spacing w:line="360" w:lineRule="auto"/>
        <w:rPr>
          <w:rFonts w:hint="eastAsia" w:ascii="仿宋" w:hAnsi="仿宋" w:eastAsia="仿宋" w:cs="仿宋"/>
          <w:b/>
          <w:sz w:val="44"/>
          <w:szCs w:val="44"/>
        </w:rPr>
      </w:pPr>
    </w:p>
    <w:p>
      <w:pPr>
        <w:spacing w:line="1100" w:lineRule="exact"/>
        <w:jc w:val="center"/>
        <w:rPr>
          <w:rFonts w:hint="eastAsia" w:ascii="仿宋" w:hAnsi="仿宋" w:eastAsia="仿宋" w:cs="仿宋"/>
          <w:b/>
          <w:bCs/>
          <w:sz w:val="80"/>
          <w:szCs w:val="80"/>
        </w:rPr>
      </w:pPr>
      <w:r>
        <w:rPr>
          <w:rFonts w:hint="eastAsia" w:ascii="仿宋" w:hAnsi="仿宋" w:eastAsia="仿宋" w:cs="仿宋"/>
          <w:b/>
          <w:bCs/>
          <w:sz w:val="80"/>
          <w:szCs w:val="80"/>
        </w:rPr>
        <w:t>招</w:t>
      </w:r>
    </w:p>
    <w:p>
      <w:pPr>
        <w:spacing w:line="1100" w:lineRule="exact"/>
        <w:jc w:val="center"/>
        <w:rPr>
          <w:rFonts w:hint="eastAsia" w:ascii="仿宋" w:hAnsi="仿宋" w:eastAsia="仿宋" w:cs="仿宋"/>
          <w:b/>
          <w:bCs/>
          <w:sz w:val="80"/>
          <w:szCs w:val="80"/>
        </w:rPr>
      </w:pPr>
      <w:r>
        <w:rPr>
          <w:rFonts w:hint="eastAsia" w:ascii="仿宋" w:hAnsi="仿宋" w:eastAsia="仿宋" w:cs="仿宋"/>
          <w:b/>
          <w:bCs/>
          <w:sz w:val="80"/>
          <w:szCs w:val="80"/>
        </w:rPr>
        <w:t>标</w:t>
      </w:r>
    </w:p>
    <w:p>
      <w:pPr>
        <w:spacing w:line="1100" w:lineRule="exact"/>
        <w:jc w:val="center"/>
        <w:rPr>
          <w:rFonts w:hint="eastAsia" w:ascii="仿宋" w:hAnsi="仿宋" w:eastAsia="仿宋" w:cs="仿宋"/>
          <w:b/>
          <w:bCs/>
          <w:sz w:val="80"/>
          <w:szCs w:val="80"/>
        </w:rPr>
      </w:pPr>
      <w:r>
        <w:rPr>
          <w:rFonts w:hint="eastAsia" w:ascii="仿宋" w:hAnsi="仿宋" w:eastAsia="仿宋" w:cs="仿宋"/>
          <w:b/>
          <w:bCs/>
          <w:sz w:val="80"/>
          <w:szCs w:val="80"/>
        </w:rPr>
        <w:t>文</w:t>
      </w:r>
    </w:p>
    <w:p>
      <w:pPr>
        <w:widowControl/>
        <w:spacing w:line="360" w:lineRule="auto"/>
        <w:ind w:left="527" w:right="527"/>
        <w:jc w:val="center"/>
        <w:rPr>
          <w:rFonts w:hint="eastAsia" w:ascii="仿宋" w:hAnsi="仿宋" w:eastAsia="仿宋" w:cs="仿宋"/>
          <w:b/>
          <w:bCs/>
          <w:sz w:val="80"/>
          <w:szCs w:val="80"/>
        </w:rPr>
      </w:pPr>
      <w:r>
        <w:rPr>
          <w:rFonts w:hint="eastAsia" w:ascii="仿宋" w:hAnsi="仿宋" w:eastAsia="仿宋" w:cs="仿宋"/>
          <w:b/>
          <w:bCs/>
          <w:sz w:val="80"/>
          <w:szCs w:val="80"/>
        </w:rPr>
        <w:t>件</w:t>
      </w:r>
    </w:p>
    <w:p>
      <w:pPr>
        <w:widowControl/>
        <w:spacing w:line="520" w:lineRule="exact"/>
        <w:ind w:left="527" w:right="527"/>
        <w:jc w:val="center"/>
        <w:rPr>
          <w:rFonts w:hint="eastAsia" w:ascii="仿宋" w:hAnsi="仿宋" w:eastAsia="仿宋" w:cs="仿宋"/>
          <w:b/>
          <w:sz w:val="24"/>
        </w:rPr>
      </w:pPr>
    </w:p>
    <w:p>
      <w:pPr>
        <w:widowControl/>
        <w:spacing w:line="520" w:lineRule="exact"/>
        <w:ind w:left="527" w:right="527"/>
        <w:jc w:val="center"/>
        <w:rPr>
          <w:rFonts w:hint="eastAsia" w:ascii="仿宋" w:hAnsi="仿宋" w:eastAsia="仿宋" w:cs="仿宋"/>
          <w:b/>
          <w:sz w:val="32"/>
          <w:szCs w:val="32"/>
        </w:rPr>
      </w:pPr>
      <w:r>
        <w:rPr>
          <w:rFonts w:hint="eastAsia" w:ascii="仿宋" w:hAnsi="仿宋" w:eastAsia="仿宋" w:cs="仿宋"/>
          <w:b/>
          <w:sz w:val="32"/>
          <w:szCs w:val="32"/>
        </w:rPr>
        <w:t>（项目编号：</w:t>
      </w:r>
      <w:r>
        <w:rPr>
          <w:rFonts w:hint="eastAsia" w:ascii="仿宋" w:hAnsi="仿宋" w:eastAsia="仿宋" w:cs="仿宋"/>
          <w:b/>
          <w:sz w:val="32"/>
          <w:szCs w:val="32"/>
          <w:lang w:val="zh-CN" w:eastAsia="zh-CN"/>
        </w:rPr>
        <w:t>DFJW2023-CA-020号</w:t>
      </w:r>
      <w:r>
        <w:rPr>
          <w:rFonts w:hint="eastAsia" w:ascii="仿宋" w:hAnsi="仿宋" w:eastAsia="仿宋" w:cs="仿宋"/>
          <w:b/>
          <w:sz w:val="32"/>
          <w:szCs w:val="32"/>
        </w:rPr>
        <w:t>）</w:t>
      </w:r>
    </w:p>
    <w:p>
      <w:pPr>
        <w:spacing w:line="5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淳安县两山生态资源经营开发有限公司</w:t>
      </w:r>
    </w:p>
    <w:p>
      <w:pPr>
        <w:spacing w:line="520" w:lineRule="exact"/>
        <w:jc w:val="center"/>
        <w:rPr>
          <w:rFonts w:hint="eastAsia" w:ascii="仿宋" w:hAnsi="仿宋" w:eastAsia="仿宋" w:cs="仿宋"/>
        </w:rPr>
      </w:pPr>
      <w:r>
        <w:rPr>
          <w:rFonts w:hint="eastAsia" w:ascii="仿宋" w:hAnsi="仿宋" w:eastAsia="仿宋" w:cs="仿宋"/>
          <w:sz w:val="32"/>
          <w:szCs w:val="32"/>
          <w:lang w:val="en-US" w:eastAsia="zh-CN"/>
        </w:rPr>
        <w:t>东方经纬项目管理有限公司</w:t>
      </w:r>
    </w:p>
    <w:tbl>
      <w:tblPr>
        <w:tblStyle w:val="62"/>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hint="eastAsia" w:ascii="仿宋" w:hAnsi="仿宋" w:eastAsia="仿宋" w:cs="仿宋"/>
                <w:b/>
                <w:bCs/>
                <w:kern w:val="0"/>
                <w:sz w:val="36"/>
                <w:szCs w:val="36"/>
              </w:rPr>
            </w:pPr>
            <w:r>
              <w:rPr>
                <w:rFonts w:hint="eastAsia" w:ascii="仿宋" w:hAnsi="仿宋" w:eastAsia="仿宋" w:cs="仿宋"/>
                <w:b/>
                <w:bCs/>
                <w:kern w:val="0"/>
                <w:sz w:val="36"/>
                <w:szCs w:val="36"/>
              </w:rPr>
              <w:t>采购单位确认（公章）：该采购文件已经我单位审核确认。</w:t>
            </w:r>
          </w:p>
          <w:p>
            <w:pPr>
              <w:autoSpaceDE w:val="0"/>
              <w:spacing w:after="100" w:afterAutospacing="1"/>
              <w:jc w:val="left"/>
              <w:rPr>
                <w:rFonts w:hint="eastAsia" w:ascii="仿宋" w:hAnsi="仿宋" w:eastAsia="仿宋" w:cs="仿宋"/>
                <w:b/>
                <w:bCs/>
                <w:kern w:val="0"/>
                <w:sz w:val="36"/>
                <w:szCs w:val="36"/>
              </w:rPr>
            </w:pPr>
            <w:r>
              <w:rPr>
                <w:rFonts w:hint="eastAsia" w:ascii="仿宋" w:hAnsi="仿宋" w:eastAsia="仿宋" w:cs="仿宋"/>
                <w:b/>
                <w:bCs/>
                <w:kern w:val="0"/>
                <w:sz w:val="36"/>
                <w:szCs w:val="36"/>
              </w:rPr>
              <w:t>经办人（签名）：</w:t>
            </w:r>
          </w:p>
          <w:p>
            <w:pPr>
              <w:pStyle w:val="963"/>
              <w:rPr>
                <w:rFonts w:hint="eastAsia" w:ascii="仿宋" w:hAnsi="仿宋" w:eastAsia="仿宋" w:cs="仿宋"/>
              </w:rPr>
            </w:pPr>
          </w:p>
          <w:p>
            <w:pPr>
              <w:pStyle w:val="963"/>
              <w:rPr>
                <w:rFonts w:hint="eastAsia" w:ascii="仿宋" w:hAnsi="仿宋" w:eastAsia="仿宋" w:cs="仿宋"/>
              </w:rPr>
            </w:pPr>
          </w:p>
          <w:p>
            <w:pPr>
              <w:autoSpaceDE w:val="0"/>
              <w:spacing w:after="100" w:afterAutospacing="1"/>
              <w:jc w:val="left"/>
              <w:rPr>
                <w:rFonts w:hint="eastAsia" w:ascii="仿宋" w:hAnsi="仿宋" w:eastAsia="仿宋" w:cs="仿宋"/>
                <w:b/>
                <w:bCs/>
                <w:kern w:val="0"/>
                <w:sz w:val="36"/>
                <w:szCs w:val="36"/>
              </w:rPr>
            </w:pPr>
            <w:r>
              <w:rPr>
                <w:rFonts w:hint="eastAsia" w:ascii="仿宋" w:hAnsi="仿宋" w:eastAsia="仿宋" w:cs="仿宋"/>
                <w:b/>
                <w:bCs/>
                <w:kern w:val="0"/>
                <w:sz w:val="36"/>
                <w:szCs w:val="36"/>
              </w:rPr>
              <w:t>日期：  年  月  日</w:t>
            </w:r>
          </w:p>
        </w:tc>
        <w:tc>
          <w:tcPr>
            <w:tcW w:w="5047" w:type="dxa"/>
          </w:tcPr>
          <w:p>
            <w:pPr>
              <w:autoSpaceDE w:val="0"/>
              <w:spacing w:after="100" w:afterAutospacing="1" w:line="240" w:lineRule="atLeast"/>
              <w:jc w:val="left"/>
              <w:rPr>
                <w:rFonts w:hint="eastAsia" w:ascii="仿宋" w:hAnsi="仿宋" w:eastAsia="仿宋" w:cs="仿宋"/>
                <w:b/>
                <w:bCs/>
                <w:kern w:val="0"/>
                <w:sz w:val="36"/>
                <w:szCs w:val="36"/>
              </w:rPr>
            </w:pPr>
            <w:r>
              <w:rPr>
                <w:rFonts w:hint="eastAsia" w:ascii="仿宋" w:hAnsi="仿宋" w:eastAsia="仿宋" w:cs="仿宋"/>
                <w:b/>
                <w:bCs/>
                <w:kern w:val="0"/>
                <w:sz w:val="36"/>
                <w:szCs w:val="36"/>
              </w:rPr>
              <w:t>代理机构审批（公章）：同意发布</w:t>
            </w:r>
          </w:p>
          <w:p>
            <w:pPr>
              <w:autoSpaceDE w:val="0"/>
              <w:spacing w:after="100" w:afterAutospacing="1" w:line="240" w:lineRule="atLeast"/>
              <w:jc w:val="left"/>
              <w:rPr>
                <w:rFonts w:hint="eastAsia" w:ascii="仿宋" w:hAnsi="仿宋" w:eastAsia="仿宋" w:cs="仿宋"/>
                <w:b/>
                <w:bCs/>
                <w:kern w:val="0"/>
                <w:sz w:val="36"/>
                <w:szCs w:val="36"/>
              </w:rPr>
            </w:pPr>
            <w:r>
              <w:rPr>
                <w:rFonts w:hint="eastAsia" w:ascii="仿宋" w:hAnsi="仿宋" w:eastAsia="仿宋" w:cs="仿宋"/>
                <w:b/>
                <w:bCs/>
                <w:kern w:val="0"/>
                <w:sz w:val="36"/>
                <w:szCs w:val="36"/>
              </w:rPr>
              <w:t>经办人（签名）：</w:t>
            </w:r>
          </w:p>
          <w:p>
            <w:pPr>
              <w:pStyle w:val="963"/>
              <w:rPr>
                <w:rFonts w:hint="eastAsia" w:ascii="仿宋" w:hAnsi="仿宋" w:eastAsia="仿宋" w:cs="仿宋"/>
              </w:rPr>
            </w:pPr>
          </w:p>
          <w:p>
            <w:pPr>
              <w:pStyle w:val="963"/>
              <w:rPr>
                <w:rFonts w:hint="eastAsia" w:ascii="仿宋" w:hAnsi="仿宋" w:eastAsia="仿宋" w:cs="仿宋"/>
              </w:rPr>
            </w:pPr>
          </w:p>
          <w:p>
            <w:pPr>
              <w:autoSpaceDE w:val="0"/>
              <w:spacing w:after="100" w:afterAutospacing="1" w:line="240" w:lineRule="atLeast"/>
              <w:jc w:val="left"/>
              <w:rPr>
                <w:rFonts w:hint="eastAsia" w:ascii="仿宋" w:hAnsi="仿宋" w:eastAsia="仿宋" w:cs="仿宋"/>
                <w:b/>
                <w:bCs/>
                <w:kern w:val="0"/>
                <w:sz w:val="36"/>
                <w:szCs w:val="36"/>
              </w:rPr>
            </w:pPr>
            <w:r>
              <w:rPr>
                <w:rFonts w:hint="eastAsia" w:ascii="仿宋" w:hAnsi="仿宋" w:eastAsia="仿宋" w:cs="仿宋"/>
                <w:b/>
                <w:bCs/>
                <w:kern w:val="0"/>
                <w:sz w:val="36"/>
                <w:szCs w:val="36"/>
              </w:rPr>
              <w:t>日期：  年  月  日</w:t>
            </w:r>
          </w:p>
        </w:tc>
      </w:tr>
    </w:tbl>
    <w:p>
      <w:pPr>
        <w:spacing w:line="520" w:lineRule="exact"/>
        <w:jc w:val="center"/>
        <w:rPr>
          <w:rFonts w:hint="eastAsia" w:ascii="仿宋" w:hAnsi="仿宋" w:eastAsia="仿宋" w:cs="仿宋"/>
          <w:sz w:val="24"/>
        </w:rPr>
      </w:pPr>
    </w:p>
    <w:p>
      <w:pPr>
        <w:jc w:val="center"/>
        <w:rPr>
          <w:rFonts w:hint="eastAsia" w:ascii="仿宋" w:hAnsi="仿宋" w:eastAsia="仿宋" w:cs="仿宋"/>
          <w:sz w:val="24"/>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0" w:name="_Hlt91233176"/>
      <w:bookmarkEnd w:id="0"/>
      <w:bookmarkStart w:id="1"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2" w:name="第一部分"/>
      <w:r>
        <w:rPr>
          <w:rFonts w:hint="eastAsia" w:ascii="仿宋" w:hAnsi="仿宋" w:eastAsia="仿宋" w:cs="仿宋"/>
          <w:b/>
          <w:sz w:val="36"/>
          <w:szCs w:val="36"/>
        </w:rPr>
        <w:br w:type="page"/>
      </w:r>
      <w:bookmarkEnd w:id="1"/>
      <w:bookmarkEnd w:id="2"/>
      <w:bookmarkStart w:id="3" w:name="_Hlt74707423"/>
      <w:bookmarkEnd w:id="3"/>
      <w:bookmarkStart w:id="4" w:name="_Hlt74728647"/>
      <w:bookmarkEnd w:id="4"/>
      <w:bookmarkStart w:id="5" w:name="_Hlt74729822"/>
      <w:bookmarkEnd w:id="5"/>
      <w:bookmarkStart w:id="6" w:name="_Hlt74649545"/>
      <w:bookmarkEnd w:id="6"/>
      <w:bookmarkStart w:id="7" w:name="第二部分"/>
      <w:bookmarkStart w:id="8" w:name="_Toc91899870"/>
      <w:bookmarkStart w:id="9"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lang w:eastAsia="zh-CN"/>
        </w:rPr>
        <w:t>两山公司一期（首批）项目建设支撑体系设备（5）巡护船（艇）</w:t>
      </w:r>
      <w:r>
        <w:rPr>
          <w:rFonts w:hint="eastAsia" w:ascii="仿宋" w:hAnsi="仿宋" w:eastAsia="仿宋" w:cs="仿宋"/>
          <w:sz w:val="24"/>
          <w:u w:val="single"/>
        </w:rPr>
        <w:t>采购项目</w:t>
      </w:r>
      <w:r>
        <w:rPr>
          <w:rFonts w:hint="eastAsia" w:ascii="仿宋" w:hAnsi="仿宋" w:eastAsia="仿宋" w:cs="仿宋"/>
          <w:sz w:val="24"/>
        </w:rPr>
        <w:t>招标项目的潜在投标人应在</w:t>
      </w:r>
      <w:r>
        <w:rPr>
          <w:rFonts w:hint="eastAsia" w:ascii="仿宋" w:hAnsi="仿宋" w:eastAsia="仿宋" w:cs="仿宋"/>
          <w:sz w:val="24"/>
          <w:lang w:eastAsia="zh-CN"/>
        </w:rPr>
        <w:t>乐</w:t>
      </w:r>
      <w:r>
        <w:rPr>
          <w:rFonts w:hint="eastAsia" w:ascii="仿宋" w:hAnsi="仿宋" w:eastAsia="仿宋" w:cs="仿宋"/>
          <w:sz w:val="24"/>
        </w:rPr>
        <w:t>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"https://www.zcygov.cn/）获取（下载）招标文件，并于202%20年%20月%20日%20点%20分00秒" </w:instrText>
      </w:r>
      <w:r>
        <w:rPr>
          <w:rFonts w:hint="eastAsia" w:ascii="仿宋" w:hAnsi="仿宋" w:eastAsia="仿宋" w:cs="仿宋"/>
        </w:rPr>
        <w:fldChar w:fldCharType="separate"/>
      </w:r>
      <w:r>
        <w:rPr>
          <w:rStyle w:val="76"/>
          <w:rFonts w:hint="eastAsia" w:ascii="仿宋" w:hAnsi="仿宋" w:eastAsia="仿宋" w:cs="仿宋"/>
          <w:snapToGrid/>
          <w:color w:val="C00000"/>
          <w:kern w:val="2"/>
          <w:sz w:val="24"/>
          <w:szCs w:val="24"/>
          <w:highlight w:val="none"/>
        </w:rPr>
        <w:t>https://</w:t>
      </w:r>
      <w:r>
        <w:rPr>
          <w:rStyle w:val="76"/>
          <w:rFonts w:hint="eastAsia" w:ascii="仿宋" w:hAnsi="仿宋" w:eastAsia="仿宋" w:cs="仿宋"/>
          <w:snapToGrid/>
          <w:color w:val="C00000"/>
          <w:kern w:val="2"/>
          <w:sz w:val="24"/>
          <w:szCs w:val="24"/>
          <w:highlight w:val="none"/>
          <w:lang w:val="en-US" w:eastAsia="zh-CN"/>
        </w:rPr>
        <w:t>www.lecaiyun.com</w:t>
      </w:r>
      <w:r>
        <w:rPr>
          <w:rStyle w:val="76"/>
          <w:rFonts w:hint="eastAsia" w:ascii="仿宋" w:hAnsi="仿宋" w:eastAsia="仿宋" w:cs="仿宋"/>
          <w:snapToGrid/>
          <w:kern w:val="2"/>
          <w:sz w:val="24"/>
          <w:szCs w:val="24"/>
        </w:rPr>
        <w:t>）获取（下载）招标文件，并于2023 年</w:t>
      </w:r>
      <w:r>
        <w:rPr>
          <w:rStyle w:val="76"/>
          <w:rFonts w:hint="eastAsia" w:ascii="仿宋" w:hAnsi="仿宋" w:eastAsia="仿宋" w:cs="仿宋"/>
          <w:snapToGrid/>
          <w:kern w:val="2"/>
          <w:sz w:val="24"/>
          <w:szCs w:val="24"/>
          <w:lang w:val="en-US" w:eastAsia="zh-CN"/>
        </w:rPr>
        <w:t>XX</w:t>
      </w:r>
      <w:r>
        <w:rPr>
          <w:rStyle w:val="76"/>
          <w:rFonts w:hint="eastAsia" w:ascii="仿宋" w:hAnsi="仿宋" w:eastAsia="仿宋" w:cs="仿宋"/>
          <w:snapToGrid/>
          <w:kern w:val="2"/>
          <w:sz w:val="24"/>
          <w:szCs w:val="24"/>
        </w:rPr>
        <w:t>月</w:t>
      </w:r>
      <w:r>
        <w:rPr>
          <w:rStyle w:val="76"/>
          <w:rFonts w:hint="eastAsia" w:ascii="仿宋" w:hAnsi="仿宋" w:eastAsia="仿宋" w:cs="仿宋"/>
          <w:snapToGrid/>
          <w:kern w:val="2"/>
          <w:sz w:val="24"/>
          <w:szCs w:val="24"/>
          <w:lang w:val="en-US" w:eastAsia="zh-CN"/>
        </w:rPr>
        <w:t>XX</w:t>
      </w:r>
      <w:r>
        <w:rPr>
          <w:rStyle w:val="76"/>
          <w:rFonts w:hint="eastAsia" w:ascii="仿宋" w:hAnsi="仿宋" w:eastAsia="仿宋" w:cs="仿宋"/>
          <w:snapToGrid/>
          <w:kern w:val="2"/>
          <w:sz w:val="24"/>
          <w:szCs w:val="24"/>
        </w:rPr>
        <w:t>日09点 30分</w:t>
      </w:r>
      <w:r>
        <w:rPr>
          <w:rStyle w:val="76"/>
          <w:rFonts w:hint="eastAsia" w:ascii="仿宋" w:hAnsi="仿宋" w:eastAsia="仿宋" w:cs="仿宋"/>
          <w:bCs/>
          <w:snapToGrid/>
          <w:kern w:val="2"/>
          <w:sz w:val="24"/>
          <w:szCs w:val="24"/>
        </w:rPr>
        <w:t>00秒</w:t>
      </w:r>
      <w:r>
        <w:rPr>
          <w:rStyle w:val="76"/>
          <w:rFonts w:hint="eastAsia" w:ascii="仿宋" w:hAnsi="仿宋" w:eastAsia="仿宋" w:cs="仿宋"/>
          <w:bCs/>
          <w:snapToGrid/>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Cs/>
          <w:sz w:val="24"/>
          <w:lang w:eastAsia="zh-CN"/>
        </w:rPr>
        <w:t>DFJW2023-CA-0</w:t>
      </w:r>
      <w:r>
        <w:rPr>
          <w:rFonts w:hint="eastAsia" w:ascii="仿宋" w:hAnsi="仿宋" w:eastAsia="仿宋" w:cs="仿宋"/>
          <w:bCs/>
          <w:sz w:val="24"/>
          <w:lang w:val="en-US" w:eastAsia="zh-CN"/>
        </w:rPr>
        <w:t>20</w:t>
      </w:r>
      <w:r>
        <w:rPr>
          <w:rFonts w:hint="eastAsia" w:ascii="仿宋" w:hAnsi="仿宋" w:eastAsia="仿宋" w:cs="仿宋"/>
          <w:bCs/>
          <w:sz w:val="24"/>
          <w:lang w:eastAsia="zh-CN"/>
        </w:rPr>
        <w:t>号</w:t>
      </w:r>
    </w:p>
    <w:p>
      <w:pPr>
        <w:spacing w:line="360" w:lineRule="auto"/>
        <w:ind w:firstLine="480"/>
        <w:rPr>
          <w:rFonts w:hint="eastAsia" w:ascii="仿宋" w:hAnsi="仿宋" w:eastAsia="仿宋" w:cs="仿宋"/>
          <w:bCs/>
          <w:sz w:val="24"/>
          <w:lang w:eastAsia="zh-CN"/>
        </w:rPr>
      </w:pPr>
      <w:r>
        <w:rPr>
          <w:rFonts w:hint="eastAsia" w:ascii="仿宋" w:hAnsi="仿宋" w:eastAsia="仿宋" w:cs="仿宋"/>
          <w:b/>
          <w:sz w:val="24"/>
        </w:rPr>
        <w:t>项目名称：</w:t>
      </w:r>
      <w:r>
        <w:rPr>
          <w:rFonts w:hint="eastAsia" w:ascii="仿宋" w:hAnsi="仿宋" w:eastAsia="仿宋" w:cs="仿宋"/>
          <w:bCs/>
          <w:sz w:val="24"/>
          <w:lang w:eastAsia="zh-CN"/>
        </w:rPr>
        <w:t>两山公司一期（首批）项目建设支撑体系设备（5）巡护船（艇）采购项目</w:t>
      </w:r>
    </w:p>
    <w:p>
      <w:pPr>
        <w:spacing w:line="360" w:lineRule="auto"/>
        <w:rPr>
          <w:rFonts w:hint="eastAsia" w:ascii="仿宋" w:hAnsi="仿宋" w:eastAsia="仿宋" w:cs="仿宋"/>
          <w:b/>
          <w:sz w:val="24"/>
        </w:rPr>
      </w:pPr>
      <w:r>
        <w:rPr>
          <w:rFonts w:hint="eastAsia" w:ascii="仿宋" w:hAnsi="仿宋" w:eastAsia="仿宋" w:cs="仿宋"/>
          <w:b/>
          <w:sz w:val="24"/>
        </w:rPr>
        <w:t xml:space="preserve">    预算金额（元）：</w:t>
      </w:r>
      <w:r>
        <w:rPr>
          <w:rFonts w:hint="eastAsia" w:ascii="仿宋" w:hAnsi="仿宋" w:eastAsia="仿宋" w:cs="仿宋"/>
          <w:sz w:val="24"/>
          <w:lang w:val="en-US" w:eastAsia="zh-CN"/>
        </w:rPr>
        <w:t>4100000</w:t>
      </w:r>
      <w:r>
        <w:rPr>
          <w:rFonts w:hint="eastAsia" w:ascii="仿宋" w:hAnsi="仿宋" w:eastAsia="仿宋" w:cs="仿宋"/>
          <w:sz w:val="24"/>
        </w:rPr>
        <w:t>.00元</w:t>
      </w:r>
    </w:p>
    <w:p>
      <w:pPr>
        <w:spacing w:line="360" w:lineRule="auto"/>
        <w:ind w:firstLine="482" w:firstLineChars="200"/>
        <w:rPr>
          <w:rFonts w:hint="eastAsia" w:ascii="仿宋" w:hAnsi="仿宋" w:eastAsia="仿宋" w:cs="仿宋"/>
          <w:sz w:val="24"/>
        </w:rPr>
      </w:pPr>
      <w:r>
        <w:rPr>
          <w:rFonts w:hint="eastAsia" w:ascii="仿宋" w:hAnsi="仿宋" w:eastAsia="仿宋" w:cs="仿宋"/>
          <w:b/>
          <w:bCs/>
          <w:sz w:val="24"/>
        </w:rPr>
        <w:t>最高限价（元）</w:t>
      </w:r>
      <w:r>
        <w:rPr>
          <w:rFonts w:hint="eastAsia" w:ascii="仿宋" w:hAnsi="仿宋" w:eastAsia="仿宋" w:cs="仿宋"/>
          <w:sz w:val="24"/>
        </w:rPr>
        <w:t>：</w:t>
      </w:r>
      <w:r>
        <w:rPr>
          <w:rFonts w:hint="eastAsia" w:ascii="仿宋" w:hAnsi="仿宋" w:eastAsia="仿宋" w:cs="仿宋"/>
          <w:sz w:val="24"/>
          <w:lang w:val="en-US" w:eastAsia="zh-CN"/>
        </w:rPr>
        <w:t>4100000</w:t>
      </w:r>
      <w:r>
        <w:rPr>
          <w:rFonts w:hint="eastAsia" w:ascii="仿宋" w:hAnsi="仿宋" w:eastAsia="仿宋" w:cs="仿宋"/>
          <w:sz w:val="24"/>
        </w:rPr>
        <w:t>.00元</w:t>
      </w:r>
    </w:p>
    <w:p>
      <w:pPr>
        <w:spacing w:line="360" w:lineRule="auto"/>
        <w:ind w:firstLine="480"/>
        <w:rPr>
          <w:rFonts w:hint="eastAsia" w:ascii="仿宋" w:hAnsi="仿宋" w:eastAsia="仿宋" w:cs="仿宋"/>
          <w:snapToGrid/>
          <w:color w:val="auto"/>
          <w:kern w:val="2"/>
          <w:sz w:val="24"/>
          <w:szCs w:val="24"/>
        </w:rPr>
      </w:pPr>
      <w:r>
        <w:rPr>
          <w:rFonts w:hint="eastAsia" w:ascii="仿宋" w:hAnsi="仿宋" w:eastAsia="仿宋" w:cs="仿宋"/>
          <w:b/>
          <w:bCs/>
          <w:snapToGrid/>
          <w:color w:val="auto"/>
          <w:kern w:val="2"/>
          <w:sz w:val="24"/>
          <w:szCs w:val="24"/>
        </w:rPr>
        <w:t>采购需求：</w:t>
      </w:r>
      <w:r>
        <w:rPr>
          <w:rFonts w:hint="eastAsia" w:ascii="仿宋" w:hAnsi="仿宋" w:eastAsia="仿宋" w:cs="仿宋"/>
          <w:bCs/>
          <w:sz w:val="24"/>
          <w:lang w:eastAsia="zh-CN"/>
        </w:rPr>
        <w:t>两山公司一期（首批）项目建设支撑体系设备（5）巡护船（艇）采购项目</w:t>
      </w:r>
      <w:r>
        <w:rPr>
          <w:rFonts w:hint="eastAsia" w:ascii="仿宋" w:hAnsi="仿宋" w:eastAsia="仿宋" w:cs="仿宋"/>
          <w:snapToGrid/>
          <w:color w:val="auto"/>
          <w:kern w:val="2"/>
          <w:sz w:val="24"/>
          <w:szCs w:val="24"/>
        </w:rPr>
        <w:t>，主要内容：</w:t>
      </w:r>
      <w:r>
        <w:rPr>
          <w:rFonts w:hint="eastAsia" w:ascii="仿宋" w:hAnsi="仿宋" w:eastAsia="仿宋" w:cs="仿宋"/>
          <w:snapToGrid/>
          <w:color w:val="auto"/>
          <w:kern w:val="2"/>
          <w:sz w:val="24"/>
          <w:szCs w:val="24"/>
          <w:lang w:val="zh-CN" w:eastAsia="zh-CN"/>
        </w:rPr>
        <w:t>1艘17.8m</w:t>
      </w:r>
      <w:r>
        <w:rPr>
          <w:rFonts w:hint="eastAsia" w:ascii="仿宋" w:hAnsi="仿宋" w:eastAsia="仿宋" w:cs="仿宋"/>
          <w:snapToGrid/>
          <w:color w:val="auto"/>
          <w:kern w:val="2"/>
          <w:sz w:val="24"/>
          <w:szCs w:val="24"/>
          <w:lang w:val="en-US" w:eastAsia="zh-CN"/>
        </w:rPr>
        <w:t>巡护</w:t>
      </w:r>
      <w:r>
        <w:rPr>
          <w:rFonts w:hint="eastAsia" w:ascii="仿宋" w:hAnsi="仿宋" w:eastAsia="仿宋" w:cs="仿宋"/>
          <w:snapToGrid/>
          <w:color w:val="auto"/>
          <w:kern w:val="2"/>
          <w:sz w:val="24"/>
          <w:szCs w:val="24"/>
          <w:lang w:val="zh-CN" w:eastAsia="zh-CN"/>
        </w:rPr>
        <w:t>船、1艘10.56m</w:t>
      </w:r>
      <w:r>
        <w:rPr>
          <w:rFonts w:hint="eastAsia" w:ascii="仿宋" w:hAnsi="仿宋" w:eastAsia="仿宋" w:cs="仿宋"/>
          <w:snapToGrid/>
          <w:color w:val="auto"/>
          <w:kern w:val="2"/>
          <w:sz w:val="24"/>
          <w:szCs w:val="24"/>
          <w:lang w:val="en-US" w:eastAsia="zh-CN"/>
        </w:rPr>
        <w:t>巡护艇</w:t>
      </w:r>
      <w:r>
        <w:rPr>
          <w:rFonts w:hint="eastAsia" w:ascii="仿宋" w:hAnsi="仿宋" w:eastAsia="仿宋" w:cs="仿宋"/>
          <w:snapToGrid/>
          <w:color w:val="auto"/>
          <w:kern w:val="2"/>
          <w:sz w:val="24"/>
          <w:szCs w:val="24"/>
          <w:lang w:val="zh-CN" w:eastAsia="zh-CN"/>
        </w:rPr>
        <w:t>、7艘7.68m</w:t>
      </w:r>
      <w:r>
        <w:rPr>
          <w:rFonts w:hint="eastAsia" w:ascii="仿宋" w:hAnsi="仿宋" w:eastAsia="仿宋" w:cs="仿宋"/>
          <w:snapToGrid/>
          <w:color w:val="auto"/>
          <w:kern w:val="2"/>
          <w:sz w:val="24"/>
          <w:szCs w:val="24"/>
          <w:lang w:val="en-US" w:eastAsia="zh-CN"/>
        </w:rPr>
        <w:t>巡护艇</w:t>
      </w:r>
      <w:r>
        <w:rPr>
          <w:rFonts w:hint="eastAsia" w:ascii="仿宋" w:hAnsi="仿宋" w:eastAsia="仿宋" w:cs="仿宋"/>
          <w:snapToGrid/>
          <w:color w:val="auto"/>
          <w:kern w:val="2"/>
          <w:sz w:val="24"/>
          <w:szCs w:val="24"/>
          <w:lang w:val="zh-CN" w:eastAsia="zh-CN"/>
        </w:rPr>
        <w:t>建造。</w:t>
      </w:r>
      <w:r>
        <w:rPr>
          <w:rFonts w:hint="eastAsia" w:ascii="仿宋" w:hAnsi="仿宋" w:eastAsia="仿宋" w:cs="仿宋"/>
          <w:snapToGrid/>
          <w:color w:val="auto"/>
          <w:kern w:val="2"/>
          <w:sz w:val="24"/>
          <w:szCs w:val="24"/>
          <w:lang w:val="zh-CN"/>
        </w:rPr>
        <w:t>具体包括：船舶</w:t>
      </w:r>
      <w:r>
        <w:rPr>
          <w:rFonts w:hint="eastAsia" w:ascii="仿宋" w:hAnsi="仿宋" w:eastAsia="仿宋" w:cs="仿宋"/>
          <w:snapToGrid/>
          <w:color w:val="auto"/>
          <w:kern w:val="2"/>
          <w:sz w:val="24"/>
          <w:szCs w:val="24"/>
          <w:lang w:val="zh-CN" w:eastAsia="zh-CN"/>
        </w:rPr>
        <w:t>建造</w:t>
      </w:r>
      <w:r>
        <w:rPr>
          <w:rFonts w:hint="eastAsia" w:ascii="仿宋" w:hAnsi="仿宋" w:eastAsia="仿宋" w:cs="仿宋"/>
          <w:snapToGrid/>
          <w:color w:val="auto"/>
          <w:kern w:val="2"/>
          <w:sz w:val="24"/>
          <w:szCs w:val="24"/>
          <w:lang w:val="zh-CN"/>
        </w:rPr>
        <w:t>、</w:t>
      </w:r>
      <w:r>
        <w:rPr>
          <w:rFonts w:hint="eastAsia" w:ascii="仿宋" w:hAnsi="仿宋" w:eastAsia="仿宋" w:cs="仿宋"/>
          <w:snapToGrid/>
          <w:color w:val="auto"/>
          <w:kern w:val="2"/>
          <w:sz w:val="24"/>
          <w:szCs w:val="24"/>
          <w:lang w:val="zh-CN" w:eastAsia="zh-CN"/>
        </w:rPr>
        <w:t>装修、配套设备安装、调试、全船试验、交船工作,以及不少于1年(含)的免费售后现场技术支持服务及免费质量保修服务；</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spacing w:line="360" w:lineRule="auto"/>
        <w:ind w:firstLine="482" w:firstLineChars="200"/>
        <w:rPr>
          <w:rFonts w:hint="eastAsia" w:ascii="仿宋" w:hAnsi="仿宋" w:eastAsia="仿宋" w:cs="仿宋"/>
          <w:snapToGrid/>
          <w:color w:val="auto"/>
          <w:kern w:val="2"/>
          <w:sz w:val="24"/>
          <w:szCs w:val="24"/>
          <w:lang w:val="en-US" w:eastAsia="zh-CN" w:bidi="ar-SA"/>
        </w:rPr>
      </w:pPr>
      <w:r>
        <w:rPr>
          <w:rFonts w:hint="eastAsia" w:ascii="仿宋" w:hAnsi="仿宋" w:eastAsia="仿宋" w:cs="仿宋"/>
          <w:b/>
          <w:bCs/>
          <w:sz w:val="24"/>
        </w:rPr>
        <w:t>合同履约期限：</w:t>
      </w:r>
      <w:r>
        <w:rPr>
          <w:rFonts w:hint="eastAsia" w:ascii="仿宋" w:hAnsi="仿宋" w:eastAsia="仿宋" w:cs="仿宋"/>
          <w:snapToGrid/>
          <w:color w:val="auto"/>
          <w:kern w:val="2"/>
          <w:sz w:val="24"/>
          <w:szCs w:val="24"/>
          <w:lang w:val="zh-CN" w:eastAsia="zh-CN"/>
        </w:rPr>
        <w:t>合同签订之日起</w:t>
      </w:r>
      <w:r>
        <w:rPr>
          <w:rFonts w:hint="eastAsia" w:ascii="仿宋" w:hAnsi="仿宋" w:eastAsia="仿宋" w:cs="仿宋"/>
          <w:snapToGrid/>
          <w:color w:val="auto"/>
          <w:kern w:val="2"/>
          <w:sz w:val="24"/>
          <w:szCs w:val="24"/>
          <w:lang w:val="en-US" w:eastAsia="zh-CN"/>
        </w:rPr>
        <w:t>100</w:t>
      </w:r>
      <w:r>
        <w:rPr>
          <w:rFonts w:hint="eastAsia" w:ascii="仿宋" w:hAnsi="仿宋" w:eastAsia="仿宋" w:cs="仿宋"/>
          <w:snapToGrid/>
          <w:color w:val="auto"/>
          <w:kern w:val="2"/>
          <w:sz w:val="24"/>
          <w:szCs w:val="24"/>
          <w:lang w:val="zh-CN" w:eastAsia="zh-CN"/>
        </w:rPr>
        <w:t>日历天内完成船艇设计、报批、建造、配套安装、交货、试航及验收，并且提供船舶检验证书和其他应提供的相关材料</w:t>
      </w:r>
      <w:r>
        <w:rPr>
          <w:rFonts w:hint="eastAsia" w:ascii="仿宋" w:hAnsi="仿宋" w:eastAsia="仿宋" w:cs="仿宋"/>
          <w:snapToGrid/>
          <w:color w:val="auto"/>
          <w:kern w:val="2"/>
          <w:sz w:val="24"/>
          <w:szCs w:val="24"/>
          <w:lang w:val="en-US" w:eastAsia="zh-CN"/>
        </w:rPr>
        <w:t>。</w:t>
      </w:r>
    </w:p>
    <w:p>
      <w:pPr>
        <w:pStyle w:val="5"/>
        <w:spacing w:line="360" w:lineRule="auto"/>
        <w:ind w:firstLine="480"/>
        <w:rPr>
          <w:rFonts w:hint="eastAsia" w:ascii="仿宋" w:hAnsi="仿宋" w:eastAsia="仿宋" w:cs="仿宋"/>
          <w:color w:val="auto"/>
          <w:kern w:val="0"/>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A8"/>
          </w:r>
        </w:sdtContent>
      </w:sdt>
      <w:r>
        <w:rPr>
          <w:rFonts w:hint="eastAsia" w:ascii="仿宋" w:hAnsi="仿宋" w:eastAsia="仿宋" w:cs="仿宋"/>
          <w:b/>
          <w:color w:val="auto"/>
          <w:sz w:val="24"/>
        </w:rPr>
        <w:t>是</w:t>
      </w:r>
      <w:r>
        <w:rPr>
          <w:rFonts w:hint="eastAsia" w:ascii="仿宋" w:hAnsi="仿宋" w:eastAsia="仿宋" w:cs="仿宋"/>
          <w:b/>
          <w:snapToGrid/>
          <w:color w:val="auto"/>
          <w:kern w:val="2"/>
          <w:sz w:val="24"/>
        </w:rPr>
        <w:t>；</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numPr>
          <w:ilvl w:val="0"/>
          <w:numId w:val="1"/>
        </w:numPr>
        <w:spacing w:line="360" w:lineRule="auto"/>
        <w:rPr>
          <w:rFonts w:hint="eastAsia" w:ascii="仿宋" w:hAnsi="仿宋" w:eastAsia="仿宋" w:cs="仿宋"/>
          <w:b/>
          <w:sz w:val="24"/>
        </w:rPr>
      </w:pPr>
      <w:bookmarkStart w:id="10" w:name="_Hlk101132948"/>
      <w:r>
        <w:rPr>
          <w:rFonts w:hint="eastAsia" w:ascii="仿宋" w:hAnsi="仿宋" w:eastAsia="仿宋" w:cs="仿宋"/>
          <w:b/>
          <w:sz w:val="24"/>
        </w:rPr>
        <w:t>申请人的资格要求</w:t>
      </w:r>
      <w:bookmarkEnd w:id="10"/>
      <w:r>
        <w:rPr>
          <w:rFonts w:hint="eastAsia" w:ascii="仿宋" w:hAnsi="仿宋" w:eastAsia="仿宋" w:cs="仿宋"/>
          <w:b/>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2、具有良好的商业信誉和健全的财务会计制度；</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zh-CN"/>
        </w:rPr>
        <w:t>参加采购活动前三年内，在经营活动中没有重大违法记录（包括在本平台交易中无串标、提供虚假资料等记录）</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6、未被“信用中国”（www.creditchina.gov.cn)、中国政府采购网（www.ccgp.gov.cn）列入失信被执行人、重大税收违法案件当事人名单、政府采购严重违法失信行为记录名单；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7、法律、行政法规规定的其他条件；</w:t>
      </w:r>
    </w:p>
    <w:p>
      <w:pPr>
        <w:snapToGrid w:val="0"/>
        <w:spacing w:line="360" w:lineRule="auto"/>
        <w:ind w:firstLine="482" w:firstLineChars="200"/>
        <w:rPr>
          <w:rFonts w:hint="eastAsia" w:ascii="仿宋" w:hAnsi="仿宋" w:eastAsia="仿宋" w:cs="仿宋"/>
          <w:sz w:val="24"/>
          <w:u w:val="single"/>
          <w:lang w:val="en-US" w:eastAsia="zh-CN"/>
        </w:rPr>
      </w:pPr>
      <w:r>
        <w:rPr>
          <w:rFonts w:hint="eastAsia" w:ascii="仿宋" w:hAnsi="仿宋" w:eastAsia="仿宋" w:cs="仿宋"/>
          <w:b/>
          <w:bCs/>
          <w:sz w:val="24"/>
          <w:lang w:val="en-US" w:eastAsia="zh-CN"/>
        </w:rPr>
        <w:t>8、本项目的特定资格要求：</w:t>
      </w:r>
      <w:sdt>
        <w:sdtPr>
          <w:rPr>
            <w:rFonts w:hint="eastAsia" w:ascii="仿宋" w:hAnsi="仿宋" w:eastAsia="仿宋" w:cs="仿宋"/>
            <w:b/>
            <w:bCs/>
            <w:sz w:val="24"/>
            <w:lang w:val="en-US" w:eastAsia="zh-CN"/>
          </w:rPr>
          <w:id w:val="2035453831"/>
        </w:sdtPr>
        <w:sdtEndPr>
          <w:rPr>
            <w:rFonts w:hint="eastAsia" w:ascii="仿宋" w:hAnsi="仿宋" w:eastAsia="仿宋" w:cs="仿宋"/>
            <w:b/>
            <w:bCs/>
            <w:sz w:val="24"/>
            <w:lang w:val="en-US" w:eastAsia="zh-CN"/>
          </w:rPr>
        </w:sdtEndPr>
        <w:sdtContent>
          <w:r>
            <w:rPr>
              <w:rFonts w:hint="eastAsia" w:ascii="仿宋" w:hAnsi="仿宋" w:eastAsia="仿宋" w:cs="仿宋"/>
              <w:b/>
              <w:bCs/>
              <w:sz w:val="24"/>
              <w:lang w:val="en-US" w:eastAsia="zh-CN"/>
            </w:rPr>
            <w:sym w:font="Wingdings" w:char="00A8"/>
          </w:r>
        </w:sdtContent>
      </w:sdt>
      <w:r>
        <w:rPr>
          <w:rFonts w:hint="eastAsia" w:ascii="仿宋" w:hAnsi="仿宋" w:eastAsia="仿宋" w:cs="仿宋"/>
          <w:b/>
          <w:bCs/>
          <w:sz w:val="24"/>
          <w:lang w:val="en-US" w:eastAsia="zh-CN"/>
        </w:rPr>
        <w:t>无；</w:t>
      </w:r>
      <w:sdt>
        <w:sdtPr>
          <w:rPr>
            <w:rFonts w:hint="eastAsia" w:ascii="仿宋" w:hAnsi="仿宋" w:eastAsia="仿宋" w:cs="仿宋"/>
            <w:b/>
            <w:bCs/>
            <w:sz w:val="24"/>
            <w:lang w:val="en-US" w:eastAsia="zh-CN"/>
          </w:rPr>
          <w:id w:val="2035453831"/>
        </w:sdtPr>
        <w:sdtEndPr>
          <w:rPr>
            <w:rFonts w:hint="eastAsia" w:ascii="仿宋" w:hAnsi="仿宋" w:eastAsia="仿宋" w:cs="仿宋"/>
            <w:b/>
            <w:bCs/>
            <w:sz w:val="24"/>
            <w:lang w:val="en-US" w:eastAsia="zh-CN"/>
          </w:rPr>
        </w:sdtEndPr>
        <w:sdtContent>
          <w:r>
            <w:rPr>
              <w:rFonts w:hint="eastAsia" w:ascii="仿宋" w:hAnsi="仿宋" w:eastAsia="仿宋" w:cs="仿宋"/>
              <w:b/>
              <w:bCs/>
              <w:sz w:val="24"/>
              <w:lang w:val="en-US" w:eastAsia="zh-CN"/>
            </w:rPr>
            <w:sym w:font="Wingdings" w:char="00FE"/>
          </w:r>
        </w:sdtContent>
      </w:sdt>
      <w:r>
        <w:rPr>
          <w:rFonts w:hint="eastAsia" w:ascii="仿宋" w:hAnsi="仿宋" w:eastAsia="仿宋" w:cs="仿宋"/>
          <w:b/>
          <w:bCs/>
          <w:sz w:val="24"/>
          <w:lang w:val="en-US" w:eastAsia="zh-CN"/>
        </w:rPr>
        <w:t>有</w:t>
      </w:r>
      <w:r>
        <w:rPr>
          <w:rFonts w:hint="eastAsia" w:ascii="仿宋" w:hAnsi="仿宋" w:eastAsia="仿宋" w:cs="仿宋"/>
          <w:b w:val="0"/>
          <w:bCs w:val="0"/>
          <w:sz w:val="24"/>
          <w:u w:val="single"/>
          <w:lang w:val="en-US" w:eastAsia="zh-CN"/>
        </w:rPr>
        <w:t xml:space="preserve">投标人具备纤维增强塑料船舶建造资质或当地海事主管机关部门颁发的符合本项目等级船舶生产能力证明文件（提供资质证书副本复印件并加盖公章）  </w:t>
      </w:r>
    </w:p>
    <w:p>
      <w:pPr>
        <w:snapToGrid w:val="0"/>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z w:val="24"/>
          <w:lang w:val="en-US" w:eastAsia="zh-CN"/>
        </w:rPr>
        <w:t>9</w:t>
      </w:r>
      <w:r>
        <w:rPr>
          <w:rFonts w:hint="eastAsia" w:ascii="仿宋" w:hAnsi="仿宋" w:eastAsia="仿宋" w:cs="仿宋"/>
          <w:sz w:val="24"/>
          <w:lang w:eastAsia="zh-CN"/>
        </w:rPr>
        <w:t>、</w:t>
      </w:r>
      <w:r>
        <w:rPr>
          <w:rFonts w:hint="eastAsia" w:ascii="仿宋" w:hAnsi="仿宋" w:eastAsia="仿宋" w:cs="仿宋"/>
          <w:sz w:val="24"/>
        </w:rPr>
        <w:t>以联合体形式投标的，提供联合协议(本项目不接受联合体投标或者投标人不以</w:t>
      </w:r>
      <w:r>
        <w:rPr>
          <w:rFonts w:hint="eastAsia" w:ascii="仿宋" w:hAnsi="仿宋" w:eastAsia="仿宋" w:cs="仿宋"/>
          <w:snapToGrid w:val="0"/>
          <w:kern w:val="28"/>
          <w:sz w:val="24"/>
          <w:szCs w:val="20"/>
        </w:rPr>
        <w:t>联合体形式投标的，则不需要提供)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lang w:eastAsia="zh-CN"/>
        </w:rPr>
        <w:t>、</w:t>
      </w:r>
      <w:r>
        <w:rPr>
          <w:rFonts w:hint="eastAsia" w:ascii="仿宋" w:hAnsi="仿宋" w:eastAsia="仿宋" w:cs="仿宋"/>
          <w:sz w:val="24"/>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2023年</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月</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C00000"/>
          <w:sz w:val="24"/>
          <w:highlight w:val="none"/>
        </w:rPr>
      </w:pPr>
      <w:r>
        <w:rPr>
          <w:rFonts w:hint="eastAsia" w:ascii="仿宋" w:hAnsi="仿宋" w:eastAsia="仿宋" w:cs="仿宋"/>
          <w:b/>
          <w:color w:val="C00000"/>
          <w:sz w:val="24"/>
          <w:highlight w:val="none"/>
        </w:rPr>
        <w:t>地点（网址）：</w:t>
      </w:r>
      <w:r>
        <w:rPr>
          <w:rFonts w:hint="eastAsia" w:ascii="仿宋" w:hAnsi="仿宋" w:eastAsia="仿宋" w:cs="仿宋"/>
          <w:b/>
          <w:color w:val="C00000"/>
          <w:sz w:val="24"/>
          <w:highlight w:val="none"/>
          <w:lang w:eastAsia="zh-CN"/>
        </w:rPr>
        <w:t>乐</w:t>
      </w:r>
      <w:r>
        <w:rPr>
          <w:rFonts w:hint="eastAsia" w:ascii="仿宋" w:hAnsi="仿宋" w:eastAsia="仿宋" w:cs="仿宋"/>
          <w:color w:val="C00000"/>
          <w:sz w:val="24"/>
          <w:highlight w:val="none"/>
        </w:rPr>
        <w:t>采云平台（</w:t>
      </w:r>
      <w:r>
        <w:rPr>
          <w:rStyle w:val="76"/>
          <w:rFonts w:hint="eastAsia" w:ascii="仿宋" w:hAnsi="仿宋" w:eastAsia="仿宋" w:cs="仿宋"/>
          <w:snapToGrid/>
          <w:color w:val="C00000"/>
          <w:kern w:val="2"/>
          <w:sz w:val="24"/>
          <w:szCs w:val="24"/>
          <w:highlight w:val="none"/>
          <w:lang w:val="en-US" w:eastAsia="zh-CN"/>
        </w:rPr>
        <w:t>www.lecaiyun.com/</w:t>
      </w:r>
      <w:r>
        <w:rPr>
          <w:rFonts w:hint="eastAsia" w:ascii="仿宋" w:hAnsi="仿宋" w:eastAsia="仿宋" w:cs="仿宋"/>
          <w:color w:val="C00000"/>
          <w:sz w:val="24"/>
          <w:highlight w:val="non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color w:val="C00000"/>
          <w:sz w:val="24"/>
          <w:highlight w:val="none"/>
        </w:rPr>
        <w:t>方式：</w:t>
      </w:r>
      <w:r>
        <w:rPr>
          <w:rFonts w:hint="eastAsia" w:ascii="仿宋" w:hAnsi="仿宋" w:eastAsia="仿宋" w:cs="仿宋"/>
          <w:color w:val="C00000"/>
          <w:sz w:val="24"/>
          <w:highlight w:val="none"/>
        </w:rPr>
        <w:t>供应商登录</w:t>
      </w:r>
      <w:r>
        <w:rPr>
          <w:rFonts w:hint="eastAsia" w:ascii="仿宋" w:hAnsi="仿宋" w:eastAsia="仿宋" w:cs="仿宋"/>
          <w:color w:val="C00000"/>
          <w:sz w:val="24"/>
          <w:highlight w:val="none"/>
          <w:lang w:eastAsia="zh-CN"/>
        </w:rPr>
        <w:t>乐</w:t>
      </w:r>
      <w:r>
        <w:rPr>
          <w:rFonts w:hint="eastAsia" w:ascii="仿宋" w:hAnsi="仿宋" w:eastAsia="仿宋" w:cs="仿宋"/>
          <w:color w:val="C00000"/>
          <w:sz w:val="24"/>
          <w:highlight w:val="none"/>
        </w:rPr>
        <w:t>采云平台</w:t>
      </w:r>
      <w:r>
        <w:rPr>
          <w:rStyle w:val="76"/>
          <w:rFonts w:hint="eastAsia" w:ascii="仿宋" w:hAnsi="仿宋" w:eastAsia="仿宋" w:cs="仿宋"/>
          <w:snapToGrid/>
          <w:color w:val="C00000"/>
          <w:kern w:val="2"/>
          <w:sz w:val="24"/>
          <w:szCs w:val="24"/>
          <w:highlight w:val="none"/>
          <w:lang w:val="en-US" w:eastAsia="zh-CN"/>
        </w:rPr>
        <w:t>www.lecaiyun.com</w:t>
      </w:r>
      <w:r>
        <w:rPr>
          <w:rFonts w:hint="eastAsia" w:ascii="仿宋" w:hAnsi="仿宋" w:eastAsia="仿宋" w:cs="仿宋"/>
          <w:color w:val="C00000"/>
          <w:sz w:val="24"/>
          <w:highlight w:val="none"/>
        </w:rPr>
        <w:fldChar w:fldCharType="begin"/>
      </w:r>
      <w:r>
        <w:rPr>
          <w:rFonts w:hint="eastAsia" w:ascii="仿宋" w:hAnsi="仿宋" w:eastAsia="仿宋" w:cs="仿宋"/>
          <w:color w:val="C00000"/>
          <w:sz w:val="24"/>
          <w:highlight w:val="none"/>
        </w:rPr>
        <w:instrText xml:space="preserve"> HYPERLINK "http://www.qdh.gov.cn/ggzyjyw/index.html_x0005_在线申请获取采购文件（进入\“项目采购\”应用，在获取采购文件菜单中选择项目，申请获取采购文件）。" </w:instrText>
      </w:r>
      <w:r>
        <w:rPr>
          <w:rFonts w:hint="eastAsia" w:ascii="仿宋" w:hAnsi="仿宋" w:eastAsia="仿宋" w:cs="仿宋"/>
          <w:color w:val="C00000"/>
          <w:sz w:val="24"/>
          <w:highlight w:val="none"/>
        </w:rPr>
        <w:fldChar w:fldCharType="separate"/>
      </w:r>
      <w:r>
        <w:rPr>
          <w:rFonts w:hint="eastAsia" w:ascii="仿宋" w:hAnsi="仿宋" w:eastAsia="仿宋" w:cs="仿宋"/>
          <w:b/>
          <w:bCs/>
          <w:color w:val="C00000"/>
          <w:sz w:val="24"/>
        </w:rPr>
        <w:t>在线申请获取采购文件（进入“项目采购”应用，在获取采购文件菜单中选择项目，申请获取采购文件）</w:t>
      </w:r>
      <w:r>
        <w:rPr>
          <w:rStyle w:val="76"/>
          <w:rFonts w:hint="eastAsia" w:ascii="仿宋" w:hAnsi="仿宋" w:eastAsia="仿宋" w:cs="仿宋"/>
          <w:color w:val="C00000"/>
          <w:sz w:val="24"/>
          <w:highlight w:val="none"/>
        </w:rPr>
        <w:t>。</w:t>
      </w:r>
      <w:r>
        <w:rPr>
          <w:rFonts w:hint="eastAsia" w:ascii="仿宋" w:hAnsi="仿宋" w:eastAsia="仿宋" w:cs="仿宋"/>
          <w:color w:val="C00000"/>
          <w:sz w:val="24"/>
          <w:highlight w:val="none"/>
        </w:rPr>
        <w:fldChar w:fldCharType="end"/>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2023年</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月</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日09点30分00秒</w:t>
      </w:r>
      <w:r>
        <w:rPr>
          <w:rFonts w:hint="eastAsia" w:ascii="仿宋" w:hAnsi="仿宋" w:eastAsia="仿宋" w:cs="仿宋"/>
          <w:sz w:val="24"/>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rPr>
        <w:t>投标地点（网址）：</w:t>
      </w:r>
      <w:r>
        <w:rPr>
          <w:rFonts w:hint="eastAsia" w:ascii="仿宋" w:hAnsi="仿宋" w:eastAsia="仿宋" w:cs="仿宋"/>
          <w:sz w:val="24"/>
          <w:lang w:eastAsia="zh-CN"/>
        </w:rPr>
        <w:t>乐</w:t>
      </w:r>
      <w:r>
        <w:rPr>
          <w:rFonts w:hint="eastAsia" w:ascii="仿宋" w:hAnsi="仿宋" w:eastAsia="仿宋" w:cs="仿宋"/>
          <w:sz w:val="24"/>
        </w:rPr>
        <w:t>采云平台</w:t>
      </w:r>
      <w:r>
        <w:rPr>
          <w:rFonts w:hint="eastAsia" w:ascii="仿宋" w:hAnsi="仿宋" w:eastAsia="仿宋" w:cs="仿宋"/>
          <w:sz w:val="24"/>
          <w:highlight w:val="none"/>
        </w:rPr>
        <w:t>（</w:t>
      </w:r>
      <w:r>
        <w:rPr>
          <w:rStyle w:val="76"/>
          <w:rFonts w:hint="eastAsia" w:ascii="仿宋" w:hAnsi="仿宋" w:eastAsia="仿宋" w:cs="仿宋"/>
          <w:snapToGrid/>
          <w:kern w:val="2"/>
          <w:sz w:val="24"/>
          <w:szCs w:val="24"/>
          <w:highlight w:val="none"/>
          <w:lang w:val="en-US" w:eastAsia="zh-CN"/>
        </w:rPr>
        <w:t>www.lecaiyun.com</w:t>
      </w:r>
      <w:r>
        <w:rPr>
          <w:rFonts w:hint="eastAsia" w:ascii="仿宋" w:hAnsi="仿宋" w:eastAsia="仿宋" w:cs="仿宋"/>
          <w:sz w:val="24"/>
          <w:highlight w:val="none"/>
        </w:rPr>
        <w:t xml:space="preserve">）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2023年</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日09 点 30分00秒</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开标地点（网址）</w:t>
      </w:r>
      <w:r>
        <w:rPr>
          <w:rFonts w:hint="eastAsia" w:ascii="仿宋" w:hAnsi="仿宋" w:eastAsia="仿宋" w:cs="仿宋"/>
          <w:sz w:val="24"/>
          <w:highlight w:val="none"/>
          <w:lang w:val="zh-CN"/>
        </w:rPr>
        <w:t>“乐采云平台（</w:t>
      </w:r>
      <w:r>
        <w:rPr>
          <w:rStyle w:val="76"/>
          <w:rFonts w:hint="eastAsia" w:ascii="仿宋" w:hAnsi="仿宋" w:eastAsia="仿宋" w:cs="仿宋"/>
          <w:snapToGrid/>
          <w:kern w:val="2"/>
          <w:sz w:val="24"/>
          <w:szCs w:val="24"/>
          <w:highlight w:val="none"/>
          <w:lang w:val="en-US" w:eastAsia="zh-CN"/>
        </w:rPr>
        <w:t>www.lecaiyun.com</w:t>
      </w:r>
      <w:r>
        <w:rPr>
          <w:rFonts w:hint="eastAsia" w:ascii="仿宋" w:hAnsi="仿宋" w:eastAsia="仿宋" w:cs="仿宋"/>
          <w:sz w:val="24"/>
          <w:highlight w:val="none"/>
          <w:lang w:val="zh-CN"/>
        </w:rPr>
        <w:t>）”实行在线开标响应。</w:t>
      </w:r>
    </w:p>
    <w:p>
      <w:pPr>
        <w:spacing w:line="360" w:lineRule="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highlight w:val="none"/>
        </w:rPr>
        <w:t xml:space="preserve"> 1. </w:t>
      </w:r>
      <w:r>
        <w:rPr>
          <w:rFonts w:hint="eastAsia" w:ascii="仿宋" w:hAnsi="仿宋" w:eastAsia="仿宋" w:cs="仿宋"/>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仿宋" w:hAnsi="仿宋" w:eastAsia="仿宋" w:cs="仿宋"/>
          <w:sz w:val="24"/>
          <w:highlight w:val="none"/>
          <w:lang w:eastAsia="zh-CN"/>
        </w:rPr>
        <w:t>业主单位的纪检监察</w:t>
      </w:r>
      <w:r>
        <w:rPr>
          <w:rFonts w:hint="eastAsia" w:ascii="仿宋" w:hAnsi="仿宋" w:eastAsia="仿宋" w:cs="仿宋"/>
          <w:sz w:val="24"/>
          <w:highlight w:val="none"/>
        </w:rPr>
        <w:t>部门投诉</w:t>
      </w:r>
      <w:r>
        <w:rPr>
          <w:rFonts w:hint="eastAsia" w:ascii="仿宋" w:hAnsi="仿宋" w:eastAsia="仿宋" w:cs="仿宋"/>
          <w:sz w:val="24"/>
        </w:rPr>
        <w:t>。质疑函范本、投诉书范本请到浙江政府采购网下载专区下载。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.其他事项：（</w:t>
      </w:r>
      <w:r>
        <w:rPr>
          <w:rFonts w:hint="eastAsia" w:ascii="仿宋" w:hAnsi="仿宋" w:eastAsia="仿宋" w:cs="仿宋"/>
          <w:sz w:val="24"/>
          <w:lang w:val="en-US" w:eastAsia="zh-CN"/>
        </w:rPr>
        <w:t>1</w:t>
      </w:r>
      <w:r>
        <w:rPr>
          <w:rFonts w:hint="eastAsia" w:ascii="仿宋" w:hAnsi="仿宋" w:eastAsia="仿宋" w:cs="仿宋"/>
          <w:sz w:val="24"/>
        </w:rPr>
        <w:t>）电子招投标的说明：①电子招投标：本项目以数据电文形式，依托“</w:t>
      </w:r>
      <w:r>
        <w:rPr>
          <w:rFonts w:hint="eastAsia" w:ascii="仿宋" w:hAnsi="仿宋" w:eastAsia="仿宋" w:cs="仿宋"/>
          <w:color w:val="C00000"/>
          <w:sz w:val="24"/>
          <w:highlight w:val="none"/>
          <w:lang w:eastAsia="zh-CN"/>
        </w:rPr>
        <w:t>乐</w:t>
      </w:r>
      <w:r>
        <w:rPr>
          <w:rFonts w:hint="eastAsia" w:ascii="仿宋" w:hAnsi="仿宋" w:eastAsia="仿宋" w:cs="仿宋"/>
          <w:color w:val="C00000"/>
          <w:sz w:val="24"/>
          <w:highlight w:val="none"/>
        </w:rPr>
        <w:t>采云平台（www.</w:t>
      </w:r>
      <w:r>
        <w:rPr>
          <w:rFonts w:hint="eastAsia" w:ascii="仿宋" w:hAnsi="仿宋" w:eastAsia="仿宋" w:cs="仿宋"/>
          <w:color w:val="C00000"/>
          <w:sz w:val="24"/>
          <w:highlight w:val="none"/>
          <w:lang w:val="en-US" w:eastAsia="zh-CN"/>
        </w:rPr>
        <w:t>lecaiyun.com</w:t>
      </w:r>
      <w:r>
        <w:rPr>
          <w:rFonts w:hint="eastAsia" w:ascii="仿宋" w:hAnsi="仿宋" w:eastAsia="仿宋" w:cs="仿宋"/>
          <w:color w:val="C00000"/>
          <w:sz w:val="24"/>
          <w:highlight w:val="none"/>
        </w:rPr>
        <w:t>）”进行招投标活动，不接受纸质投标文件；②投标准备：注册账号--点击“</w:t>
      </w:r>
      <w:r>
        <w:rPr>
          <w:rFonts w:hint="eastAsia" w:ascii="仿宋" w:hAnsi="仿宋" w:eastAsia="仿宋" w:cs="仿宋"/>
          <w:color w:val="C00000"/>
          <w:sz w:val="24"/>
          <w:highlight w:val="none"/>
          <w:lang w:val="en-US" w:eastAsia="zh-CN"/>
        </w:rPr>
        <w:t>商家注册（https://middle.lecaiyun.com/v-settle-front/enter/accountNew?settleCategory=1&amp;entranceType=150&amp;utm=luban.luban-PC-3677.ct001.10.cfc25940300e11eea83497f4ab63b17d</w:t>
      </w:r>
      <w:r>
        <w:rPr>
          <w:rFonts w:hint="eastAsia" w:ascii="仿宋" w:hAnsi="仿宋" w:eastAsia="仿宋" w:cs="仿宋"/>
          <w:color w:val="C00000"/>
          <w:sz w:val="24"/>
          <w:highlight w:val="none"/>
          <w:lang w:eastAsia="zh-CN"/>
        </w:rPr>
        <w:t>）</w:t>
      </w:r>
      <w:r>
        <w:rPr>
          <w:rFonts w:hint="eastAsia" w:ascii="仿宋" w:hAnsi="仿宋" w:eastAsia="仿宋" w:cs="仿宋"/>
          <w:color w:val="C00000"/>
          <w:sz w:val="24"/>
          <w:highlight w:val="none"/>
        </w:rPr>
        <w:t>，进行供应商资料填写；申领CA数字证书---申领流程详见“浙江政府采购网-下载专区-电子交易客户端-CA驱动和申领流程”</w:t>
      </w:r>
      <w:r>
        <w:rPr>
          <w:rFonts w:hint="eastAsia" w:ascii="仿宋" w:hAnsi="仿宋" w:eastAsia="仿宋" w:cs="仿宋"/>
          <w:color w:val="C00000"/>
          <w:sz w:val="24"/>
          <w:highlight w:val="none"/>
          <w:lang w:eastAsia="zh-CN"/>
        </w:rPr>
        <w:t>（https://zfcg.czt.zj.gov.cn/luban/detail?parentId=600030&amp;articleId=8usMobfHBXp2GJnjOIZ0EA%3D%3D&amp;utm=luban.luban-PC-37000.979-pc-websitegroup-zhejiang-secondPage-front.3.01412d50301111eea4a9272df37c6142）</w:t>
      </w:r>
      <w:r>
        <w:rPr>
          <w:rFonts w:hint="eastAsia" w:ascii="仿宋" w:hAnsi="仿宋" w:eastAsia="仿宋" w:cs="仿宋"/>
          <w:color w:val="C00000"/>
          <w:sz w:val="24"/>
          <w:highlight w:val="none"/>
        </w:rPr>
        <w:t>；安装“</w:t>
      </w:r>
      <w:r>
        <w:rPr>
          <w:rFonts w:hint="eastAsia" w:ascii="仿宋" w:hAnsi="仿宋" w:eastAsia="仿宋" w:cs="仿宋"/>
          <w:color w:val="C00000"/>
          <w:sz w:val="24"/>
          <w:highlight w:val="none"/>
          <w:lang w:val="en-US" w:eastAsia="zh-CN"/>
        </w:rPr>
        <w:t>乐采云</w:t>
      </w:r>
      <w:r>
        <w:rPr>
          <w:rFonts w:hint="eastAsia" w:ascii="仿宋" w:hAnsi="仿宋" w:eastAsia="仿宋" w:cs="仿宋"/>
          <w:color w:val="C00000"/>
          <w:sz w:val="24"/>
          <w:highlight w:val="none"/>
        </w:rPr>
        <w:t>电子交易客户端”----前往“浙江企业采购信息服务网-</w:t>
      </w:r>
      <w:r>
        <w:rPr>
          <w:rFonts w:hint="eastAsia" w:ascii="仿宋" w:hAnsi="仿宋" w:eastAsia="仿宋" w:cs="仿宋"/>
          <w:color w:val="C00000"/>
          <w:sz w:val="24"/>
          <w:highlight w:val="none"/>
          <w:lang w:val="en-US" w:eastAsia="zh-CN"/>
        </w:rPr>
        <w:t>在线下载</w:t>
      </w:r>
      <w:r>
        <w:rPr>
          <w:rFonts w:hint="eastAsia" w:ascii="仿宋" w:hAnsi="仿宋" w:eastAsia="仿宋" w:cs="仿宋"/>
          <w:color w:val="C00000"/>
          <w:sz w:val="24"/>
          <w:highlight w:val="none"/>
        </w:rPr>
        <w:t>-电子交易客户端”进行下载安装</w:t>
      </w:r>
      <w:r>
        <w:rPr>
          <w:rFonts w:hint="eastAsia" w:ascii="仿宋" w:hAnsi="仿宋" w:eastAsia="仿宋" w:cs="仿宋"/>
          <w:color w:val="C00000"/>
          <w:sz w:val="24"/>
          <w:highlight w:val="none"/>
          <w:lang w:eastAsia="zh-CN"/>
        </w:rPr>
        <w:t>（https://b.zhengcaiyun.cn/luban/category?parentId=550045&amp;childrenCode=qicaiCategory17&amp;utm=luban.luban-PC-39026.959-pc-websitegroup-navBar-front.8.233654f0300f11ee9e63571a3f42cf10，</w:t>
      </w:r>
      <w:r>
        <w:rPr>
          <w:rFonts w:hint="eastAsia" w:ascii="仿宋" w:hAnsi="仿宋" w:eastAsia="仿宋" w:cs="仿宋"/>
          <w:color w:val="C00000"/>
          <w:sz w:val="24"/>
          <w:highlight w:val="none"/>
          <w:lang w:val="en-US" w:eastAsia="zh-CN"/>
        </w:rPr>
        <w:t>若已安装政采云电子交易客户端，无需重新安装乐采云电子交易客户端，乐采云和政采云电子交易客户端可通用</w:t>
      </w:r>
      <w:r>
        <w:rPr>
          <w:rFonts w:hint="eastAsia" w:ascii="仿宋" w:hAnsi="仿宋" w:eastAsia="仿宋" w:cs="仿宋"/>
          <w:color w:val="C00000"/>
          <w:sz w:val="24"/>
          <w:highlight w:val="none"/>
          <w:lang w:eastAsia="zh-CN"/>
        </w:rPr>
        <w:t>）</w:t>
      </w:r>
      <w:r>
        <w:rPr>
          <w:rFonts w:hint="eastAsia" w:ascii="仿宋" w:hAnsi="仿宋" w:eastAsia="仿宋" w:cs="仿宋"/>
          <w:color w:val="C00000"/>
          <w:sz w:val="24"/>
          <w:highlight w:val="none"/>
        </w:rPr>
        <w:t>；③招标文件的获取：使用账号登录或者使用CA登录</w:t>
      </w:r>
      <w:r>
        <w:rPr>
          <w:rFonts w:hint="eastAsia" w:ascii="仿宋" w:hAnsi="仿宋" w:eastAsia="仿宋" w:cs="仿宋"/>
          <w:color w:val="C00000"/>
          <w:sz w:val="24"/>
          <w:highlight w:val="none"/>
          <w:lang w:val="en-US" w:eastAsia="zh-CN"/>
        </w:rPr>
        <w:t>乐采云</w:t>
      </w:r>
      <w:r>
        <w:rPr>
          <w:rFonts w:hint="eastAsia" w:ascii="仿宋" w:hAnsi="仿宋" w:eastAsia="仿宋" w:cs="仿宋"/>
          <w:color w:val="C00000"/>
          <w:sz w:val="24"/>
          <w:highlight w:val="none"/>
        </w:rPr>
        <w:t>平台；进入“项目采购”应用，在获取采购文件菜单中选择项目，获取招标文件；④投标文件的制作：在“</w:t>
      </w:r>
      <w:r>
        <w:rPr>
          <w:rFonts w:hint="eastAsia" w:ascii="仿宋" w:hAnsi="仿宋" w:eastAsia="仿宋" w:cs="仿宋"/>
          <w:color w:val="C00000"/>
          <w:sz w:val="24"/>
          <w:highlight w:val="none"/>
          <w:lang w:val="en-US" w:eastAsia="zh-CN"/>
        </w:rPr>
        <w:t>乐采云</w:t>
      </w:r>
      <w:r>
        <w:rPr>
          <w:rFonts w:hint="eastAsia" w:ascii="仿宋" w:hAnsi="仿宋" w:eastAsia="仿宋" w:cs="仿宋"/>
          <w:color w:val="C00000"/>
          <w:sz w:val="24"/>
          <w:highlight w:val="none"/>
        </w:rPr>
        <w:t>电子交易客户端”中完成“填写基本信息”、“导入投标文件”、“标书关联”、“标书检查”、“电子签名”、“生成电子标书”等操作；</w:t>
      </w:r>
      <w:r>
        <w:rPr>
          <w:rFonts w:hint="eastAsia" w:ascii="仿宋" w:hAnsi="仿宋" w:eastAsia="仿宋" w:cs="仿宋"/>
          <w:sz w:val="24"/>
        </w:rPr>
        <w:t>⑤采购人、采购代理机构将依托</w:t>
      </w:r>
      <w:r>
        <w:rPr>
          <w:rFonts w:hint="eastAsia" w:ascii="仿宋" w:hAnsi="仿宋" w:eastAsia="仿宋" w:cs="仿宋"/>
          <w:sz w:val="24"/>
          <w:lang w:eastAsia="zh-CN"/>
        </w:rPr>
        <w:t>乐</w:t>
      </w:r>
      <w:r>
        <w:rPr>
          <w:rFonts w:hint="eastAsia" w:ascii="仿宋" w:hAnsi="仿宋" w:eastAsia="仿宋" w:cs="仿宋"/>
          <w:sz w:val="24"/>
        </w:rPr>
        <w:t>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w:t>
      </w:r>
      <w:r>
        <w:rPr>
          <w:rFonts w:hint="eastAsia" w:ascii="仿宋" w:hAnsi="仿宋" w:eastAsia="仿宋" w:cs="仿宋"/>
          <w:sz w:val="24"/>
          <w:highlight w:val="none"/>
          <w:lang w:eastAsia="zh-CN"/>
        </w:rPr>
        <w:t>乐</w:t>
      </w:r>
      <w:r>
        <w:rPr>
          <w:rFonts w:hint="eastAsia" w:ascii="仿宋" w:hAnsi="仿宋" w:eastAsia="仿宋" w:cs="仿宋"/>
          <w:sz w:val="24"/>
          <w:highlight w:val="none"/>
        </w:rPr>
        <w:t>采云平台</w:t>
      </w:r>
      <w:r>
        <w:rPr>
          <w:rFonts w:hint="eastAsia" w:ascii="仿宋" w:hAnsi="仿宋" w:eastAsia="仿宋" w:cs="仿宋"/>
          <w:sz w:val="24"/>
        </w:rPr>
        <w:t>，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w:t>
      </w:r>
      <w:r>
        <w:rPr>
          <w:rFonts w:hint="eastAsia" w:ascii="仿宋" w:hAnsi="仿宋" w:eastAsia="仿宋" w:cs="仿宋"/>
          <w:sz w:val="24"/>
          <w:highlight w:val="none"/>
          <w:lang w:eastAsia="zh-CN"/>
        </w:rPr>
        <w:t>乐</w:t>
      </w:r>
      <w:r>
        <w:rPr>
          <w:rFonts w:hint="eastAsia" w:ascii="仿宋" w:hAnsi="仿宋" w:eastAsia="仿宋" w:cs="仿宋"/>
          <w:sz w:val="24"/>
          <w:highlight w:val="none"/>
        </w:rPr>
        <w:t>采云平台</w:t>
      </w:r>
      <w:r>
        <w:rPr>
          <w:rFonts w:hint="eastAsia" w:ascii="仿宋" w:hAnsi="仿宋" w:eastAsia="仿宋" w:cs="仿宋"/>
          <w:sz w:val="24"/>
        </w:rPr>
        <w:t>”上传递交的投标文件无法按时解密，投标供应商递交了备份投标文件的，以备份投标文件为依据，否则视为投标文件撤回。通过“</w:t>
      </w:r>
      <w:r>
        <w:rPr>
          <w:rFonts w:hint="eastAsia" w:ascii="仿宋" w:hAnsi="仿宋" w:eastAsia="仿宋" w:cs="仿宋"/>
          <w:sz w:val="24"/>
          <w:lang w:eastAsia="zh-CN"/>
        </w:rPr>
        <w:t>乐</w:t>
      </w:r>
      <w:r>
        <w:rPr>
          <w:rFonts w:hint="eastAsia" w:ascii="仿宋" w:hAnsi="仿宋" w:eastAsia="仿宋" w:cs="仿宋"/>
          <w:sz w:val="24"/>
        </w:rPr>
        <w:t>采云平台”上传递交的投标文件已按时解密的，备份投标文件自动失效。投标人仅提交备份投标文件，未在电子交易平台传输递交投标文件的，投标无效；</w:t>
      </w:r>
      <w:r>
        <w:rPr>
          <w:rFonts w:hint="eastAsia" w:ascii="仿宋" w:hAnsi="仿宋" w:eastAsia="仿宋" w:cs="仿宋"/>
          <w:color w:val="C00000"/>
          <w:sz w:val="24"/>
          <w:highlight w:val="none"/>
        </w:rPr>
        <w:t>⑩具体操作指南：详见</w:t>
      </w:r>
      <w:r>
        <w:rPr>
          <w:rFonts w:hint="eastAsia" w:ascii="仿宋" w:hAnsi="仿宋" w:eastAsia="仿宋" w:cs="仿宋"/>
          <w:color w:val="C00000"/>
          <w:sz w:val="24"/>
          <w:highlight w:val="none"/>
          <w:lang w:val="en-US" w:eastAsia="zh-CN"/>
        </w:rPr>
        <w:t>:乐采</w:t>
      </w:r>
      <w:r>
        <w:rPr>
          <w:rFonts w:hint="eastAsia" w:ascii="仿宋" w:hAnsi="仿宋" w:eastAsia="仿宋" w:cs="仿宋"/>
          <w:color w:val="C00000"/>
          <w:sz w:val="24"/>
          <w:highlight w:val="none"/>
        </w:rPr>
        <w:t>云平台“服务中心-帮助文档-项目采购-电子招投标</w:t>
      </w:r>
      <w:r>
        <w:rPr>
          <w:rFonts w:hint="eastAsia" w:ascii="仿宋" w:hAnsi="仿宋" w:eastAsia="仿宋" w:cs="仿宋"/>
          <w:color w:val="C00000"/>
          <w:sz w:val="24"/>
          <w:highlight w:val="none"/>
          <w:lang w:val="en-US" w:eastAsia="zh-CN"/>
        </w:rPr>
        <w:t>操作指南-</w:t>
      </w:r>
      <w:r>
        <w:rPr>
          <w:rFonts w:hint="eastAsia" w:ascii="仿宋" w:hAnsi="仿宋" w:eastAsia="仿宋" w:cs="仿宋"/>
          <w:color w:val="C00000"/>
          <w:sz w:val="24"/>
          <w:highlight w:val="none"/>
        </w:rPr>
        <w:t>供应商”。</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ind w:firstLine="480"/>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淳安县两山生态资源经营开发有限公司</w:t>
      </w:r>
    </w:p>
    <w:p>
      <w:pPr>
        <w:spacing w:line="360" w:lineRule="auto"/>
        <w:ind w:firstLine="480"/>
        <w:rPr>
          <w:rFonts w:hint="eastAsia" w:ascii="仿宋" w:hAnsi="仿宋" w:eastAsia="仿宋" w:cs="仿宋"/>
          <w:sz w:val="24"/>
          <w:lang w:val="en-US" w:eastAsia="zh-CN"/>
        </w:rPr>
      </w:pPr>
      <w:r>
        <w:rPr>
          <w:rFonts w:hint="eastAsia" w:ascii="仿宋" w:hAnsi="仿宋" w:eastAsia="仿宋" w:cs="仿宋"/>
          <w:sz w:val="24"/>
        </w:rPr>
        <w:t>地    址：浙江省杭州市淳安县千岛湖镇阳光路688号101-108室</w:t>
      </w:r>
    </w:p>
    <w:p>
      <w:pPr>
        <w:spacing w:line="360" w:lineRule="auto"/>
        <w:ind w:firstLine="480"/>
        <w:rPr>
          <w:rFonts w:hint="eastAsia" w:ascii="仿宋" w:hAnsi="仿宋" w:eastAsia="仿宋" w:cs="仿宋"/>
          <w:sz w:val="24"/>
          <w:lang w:val="en-US" w:eastAsia="zh-CN"/>
        </w:rPr>
      </w:pPr>
      <w:r>
        <w:rPr>
          <w:rFonts w:hint="eastAsia" w:ascii="仿宋" w:hAnsi="仿宋" w:eastAsia="仿宋" w:cs="仿宋"/>
          <w:sz w:val="24"/>
        </w:rPr>
        <w:t>项目经办人：</w:t>
      </w:r>
      <w:r>
        <w:rPr>
          <w:rFonts w:hint="eastAsia" w:ascii="仿宋" w:hAnsi="仿宋" w:eastAsia="仿宋" w:cs="仿宋"/>
          <w:sz w:val="24"/>
          <w:lang w:eastAsia="zh-CN"/>
        </w:rPr>
        <w:t>黄萍</w:t>
      </w:r>
      <w:r>
        <w:rPr>
          <w:rFonts w:hint="eastAsia" w:ascii="仿宋" w:hAnsi="仿宋" w:eastAsia="仿宋" w:cs="仿宋"/>
          <w:sz w:val="24"/>
        </w:rPr>
        <w:t xml:space="preserve">        联系电话：</w:t>
      </w:r>
      <w:r>
        <w:rPr>
          <w:rFonts w:hint="eastAsia" w:ascii="仿宋" w:hAnsi="仿宋" w:eastAsia="仿宋" w:cs="仿宋"/>
          <w:sz w:val="24"/>
          <w:lang w:val="en-US" w:eastAsia="zh-CN"/>
        </w:rPr>
        <w:t>0571-64881237</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2.采购代理机构信息            </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名称：东方经纬项目管理有限公司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地址：淳安县千岛湖镇梦姑路490号12幢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项目联系人（询问）：王芳芳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项目联系方式（询问）：</w:t>
      </w:r>
      <w:r>
        <w:rPr>
          <w:rFonts w:hint="eastAsia" w:ascii="仿宋" w:hAnsi="仿宋" w:eastAsia="仿宋" w:cs="仿宋"/>
          <w:sz w:val="24"/>
          <w:lang w:val="en-US" w:eastAsia="zh-CN"/>
        </w:rPr>
        <w:t>18758869556</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质疑联系人：</w:t>
      </w:r>
      <w:r>
        <w:rPr>
          <w:rFonts w:hint="eastAsia" w:ascii="仿宋" w:hAnsi="仿宋" w:eastAsia="仿宋" w:cs="仿宋"/>
          <w:sz w:val="24"/>
          <w:lang w:val="en-US" w:eastAsia="zh-CN"/>
        </w:rPr>
        <w:t>方钰婕</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质疑联系方式：</w:t>
      </w:r>
      <w:r>
        <w:rPr>
          <w:rFonts w:hint="eastAsia" w:ascii="仿宋" w:hAnsi="仿宋" w:eastAsia="仿宋" w:cs="仿宋"/>
          <w:sz w:val="24"/>
          <w:lang w:val="en-US" w:eastAsia="zh-CN"/>
        </w:rPr>
        <w:t>18258828444</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3.</w:t>
      </w:r>
      <w:r>
        <w:rPr>
          <w:rFonts w:hint="eastAsia" w:ascii="仿宋" w:hAnsi="仿宋" w:eastAsia="仿宋" w:cs="仿宋"/>
          <w:sz w:val="24"/>
          <w:lang w:eastAsia="zh-CN"/>
        </w:rPr>
        <w:t>采购单位纪检监察</w:t>
      </w:r>
      <w:r>
        <w:rPr>
          <w:rFonts w:hint="eastAsia" w:ascii="仿宋" w:hAnsi="仿宋" w:eastAsia="仿宋" w:cs="仿宋"/>
          <w:sz w:val="24"/>
        </w:rPr>
        <w:t xml:space="preserve">部门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名称：</w:t>
      </w:r>
      <w:r>
        <w:rPr>
          <w:rFonts w:hint="eastAsia" w:ascii="仿宋" w:hAnsi="仿宋" w:eastAsia="仿宋" w:cs="仿宋"/>
          <w:sz w:val="24"/>
          <w:lang w:eastAsia="zh-CN"/>
        </w:rPr>
        <w:t>生态集团纪检监察室</w:t>
      </w:r>
      <w:r>
        <w:rPr>
          <w:rFonts w:hint="eastAsia" w:ascii="仿宋" w:hAnsi="仿宋" w:eastAsia="仿宋" w:cs="仿宋"/>
          <w:sz w:val="24"/>
          <w:lang w:val="en-US" w:eastAsia="zh-CN"/>
        </w:rPr>
        <w:t xml:space="preserve"> </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rPr>
        <w:t>地址：千岛湖镇排岭南路55号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联系人 </w:t>
      </w:r>
      <w:r>
        <w:rPr>
          <w:rFonts w:hint="eastAsia" w:ascii="仿宋" w:hAnsi="仿宋" w:eastAsia="仿宋" w:cs="仿宋"/>
          <w:sz w:val="24"/>
          <w:lang w:eastAsia="zh-CN"/>
        </w:rPr>
        <w:t>黄武祥</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监督投诉电话：</w:t>
      </w:r>
      <w:r>
        <w:rPr>
          <w:rFonts w:hint="eastAsia" w:ascii="仿宋" w:hAnsi="仿宋" w:eastAsia="仿宋" w:cs="仿宋"/>
          <w:sz w:val="24"/>
          <w:lang w:val="en-US" w:eastAsia="zh-CN"/>
        </w:rPr>
        <w:t>0571-64813881</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w:t>
      </w:r>
      <w:r>
        <w:rPr>
          <w:rFonts w:hint="eastAsia" w:ascii="仿宋" w:hAnsi="仿宋" w:eastAsia="仿宋" w:cs="仿宋"/>
          <w:sz w:val="24"/>
          <w:lang w:eastAsia="zh-CN"/>
        </w:rPr>
        <w:t>乐</w:t>
      </w:r>
      <w:r>
        <w:rPr>
          <w:rFonts w:hint="eastAsia" w:ascii="仿宋" w:hAnsi="仿宋" w:eastAsia="仿宋" w:cs="仿宋"/>
          <w:color w:val="C00000"/>
          <w:sz w:val="24"/>
          <w:highlight w:val="none"/>
        </w:rPr>
        <w:t>采云（https://www.</w:t>
      </w:r>
      <w:r>
        <w:rPr>
          <w:rFonts w:hint="eastAsia" w:ascii="仿宋" w:hAnsi="仿宋" w:eastAsia="仿宋" w:cs="仿宋"/>
          <w:color w:val="C00000"/>
          <w:sz w:val="24"/>
          <w:highlight w:val="none"/>
          <w:lang w:val="en-US" w:eastAsia="zh-CN"/>
        </w:rPr>
        <w:t>lecaiyun</w:t>
      </w:r>
      <w:r>
        <w:rPr>
          <w:rFonts w:hint="eastAsia" w:ascii="仿宋" w:hAnsi="仿宋" w:eastAsia="仿宋" w:cs="仿宋"/>
          <w:color w:val="C00000"/>
          <w:sz w:val="24"/>
          <w:highlight w:val="none"/>
        </w:rPr>
        <w:t>.c</w:t>
      </w:r>
      <w:r>
        <w:rPr>
          <w:rFonts w:hint="eastAsia" w:ascii="仿宋" w:hAnsi="仿宋" w:eastAsia="仿宋" w:cs="仿宋"/>
          <w:color w:val="C00000"/>
          <w:sz w:val="24"/>
          <w:highlight w:val="none"/>
          <w:lang w:val="en-US" w:eastAsia="zh-CN"/>
        </w:rPr>
        <w:t>om</w:t>
      </w:r>
      <w:r>
        <w:rPr>
          <w:rFonts w:hint="eastAsia" w:ascii="仿宋" w:hAnsi="仿宋" w:eastAsia="仿宋" w:cs="仿宋"/>
          <w:color w:val="C00000"/>
          <w:sz w:val="24"/>
          <w:highlight w:val="none"/>
        </w:rPr>
        <w:t>/），</w:t>
      </w:r>
      <w:r>
        <w:rPr>
          <w:rFonts w:hint="eastAsia" w:ascii="仿宋" w:hAnsi="仿宋" w:eastAsia="仿宋" w:cs="仿宋"/>
          <w:sz w:val="24"/>
        </w:rPr>
        <w:t>点击右侧咨询小采，获取采小蜜智能服务管家帮助，或拨打政采云</w:t>
      </w:r>
      <w:r>
        <w:rPr>
          <w:rFonts w:hint="eastAsia" w:ascii="仿宋" w:hAnsi="仿宋" w:eastAsia="仿宋" w:cs="仿宋"/>
          <w:sz w:val="24"/>
          <w:lang w:val="en-US" w:eastAsia="zh-CN"/>
        </w:rPr>
        <w:t>有限公司</w:t>
      </w:r>
      <w:r>
        <w:rPr>
          <w:rFonts w:hint="eastAsia" w:ascii="仿宋" w:hAnsi="仿宋" w:eastAsia="仿宋" w:cs="仿宋"/>
          <w:sz w:val="24"/>
        </w:rPr>
        <w:t>服务热线95763获取热线服务帮助。</w:t>
      </w:r>
    </w:p>
    <w:p>
      <w:pPr>
        <w:spacing w:line="360" w:lineRule="auto"/>
        <w:ind w:firstLine="480" w:firstLineChars="200"/>
        <w:rPr>
          <w:rFonts w:hint="eastAsia" w:ascii="仿宋" w:hAnsi="仿宋" w:eastAsia="仿宋" w:cs="仿宋"/>
          <w:sz w:val="24"/>
          <w:highlight w:val="yellow"/>
        </w:rPr>
      </w:pPr>
      <w:r>
        <w:rPr>
          <w:rFonts w:hint="eastAsia" w:ascii="仿宋" w:hAnsi="仿宋" w:eastAsia="仿宋" w:cs="仿宋"/>
          <w:sz w:val="24"/>
          <w:highlight w:val="none"/>
        </w:rPr>
        <w:t>CA问题联系电话（人工）：汇信CA 400-888-4636；天谷CA 400-087-8198。</w:t>
      </w:r>
    </w:p>
    <w:p>
      <w:pPr>
        <w:pStyle w:val="6"/>
        <w:spacing w:line="360" w:lineRule="auto"/>
        <w:rPr>
          <w:rFonts w:hint="eastAsia" w:ascii="仿宋" w:hAnsi="仿宋" w:eastAsia="仿宋" w:cs="仿宋"/>
          <w:snapToGrid/>
          <w:sz w:val="24"/>
          <w:szCs w:val="24"/>
        </w:rPr>
      </w:pPr>
      <w:r>
        <w:rPr>
          <w:rFonts w:hint="eastAsia" w:ascii="仿宋" w:hAnsi="仿宋" w:eastAsia="仿宋" w:cs="仿宋"/>
          <w:sz w:val="24"/>
        </w:rPr>
        <w:t xml:space="preserve">                        </w:t>
      </w:r>
      <w:r>
        <w:rPr>
          <w:rFonts w:hint="eastAsia" w:ascii="仿宋" w:hAnsi="仿宋" w:eastAsia="仿宋" w:cs="仿宋"/>
          <w:b/>
          <w:sz w:val="36"/>
          <w:szCs w:val="20"/>
        </w:rPr>
        <w:t xml:space="preserve">        </w:t>
      </w:r>
    </w:p>
    <w:p>
      <w:pPr>
        <w:pStyle w:val="2"/>
        <w:rPr>
          <w:rFonts w:hint="eastAsia" w:ascii="仿宋" w:hAnsi="仿宋" w:eastAsia="仿宋" w:cs="仿宋"/>
          <w:snapToGrid w:val="0"/>
        </w:rPr>
      </w:pPr>
      <w:r>
        <w:rPr>
          <w:rFonts w:hint="eastAsia" w:ascii="仿宋" w:hAnsi="仿宋" w:eastAsia="仿宋" w:cs="仿宋"/>
        </w:rPr>
        <w:br w:type="page"/>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7"/>
      <w:r>
        <w:rPr>
          <w:rFonts w:hint="eastAsia" w:ascii="仿宋" w:hAnsi="仿宋" w:eastAsia="仿宋" w:cs="仿宋"/>
          <w:b/>
          <w:sz w:val="36"/>
          <w:szCs w:val="20"/>
        </w:rPr>
        <w:t xml:space="preserve"> 投标人须知</w:t>
      </w:r>
      <w:bookmarkEnd w:id="8"/>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928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项目属性与核心产品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sz w:val="24"/>
                <w:u w:val="single"/>
                <w:lang w:val="zh-CN" w:eastAsia="zh-CN"/>
              </w:rPr>
              <w:t>17.8m</w:t>
            </w:r>
            <w:r>
              <w:rPr>
                <w:rFonts w:hint="eastAsia" w:ascii="仿宋" w:hAnsi="仿宋" w:eastAsia="仿宋" w:cs="仿宋"/>
                <w:sz w:val="24"/>
                <w:u w:val="single"/>
                <w:lang w:val="en-US" w:eastAsia="zh-CN"/>
              </w:rPr>
              <w:t>巡护</w:t>
            </w:r>
            <w:r>
              <w:rPr>
                <w:rFonts w:hint="eastAsia" w:ascii="仿宋" w:hAnsi="仿宋" w:eastAsia="仿宋" w:cs="仿宋"/>
                <w:sz w:val="24"/>
                <w:u w:val="single"/>
                <w:lang w:val="zh-CN" w:eastAsia="zh-CN"/>
              </w:rPr>
              <w:t>船</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813" w:type="dxa"/>
            <w:tcBorders>
              <w:top w:val="single" w:color="000000" w:sz="8" w:space="0"/>
              <w:left w:val="single" w:color="000000" w:sz="2" w:space="0"/>
              <w:bottom w:val="single" w:color="000000" w:sz="8" w:space="0"/>
              <w:right w:val="single" w:color="000000" w:sz="8" w:space="0"/>
            </w:tcBorders>
            <w:vAlign w:val="center"/>
          </w:tcPr>
          <w:p>
            <w:pPr>
              <w:pStyle w:val="2"/>
              <w:rPr>
                <w:rFonts w:hint="eastAsia" w:ascii="仿宋" w:hAnsi="仿宋" w:eastAsia="仿宋" w:cs="仿宋"/>
                <w:lang w:val="en-US"/>
              </w:rPr>
            </w:pPr>
            <w:r>
              <w:rPr>
                <w:rFonts w:hint="eastAsia" w:ascii="仿宋" w:hAnsi="仿宋" w:eastAsia="仿宋" w:cs="仿宋"/>
                <w:b/>
                <w:bCs w:val="0"/>
                <w:color w:val="auto"/>
                <w:kern w:val="2"/>
                <w:sz w:val="24"/>
                <w:szCs w:val="24"/>
                <w:highlight w:val="none"/>
                <w:lang w:val="en-US" w:eastAsia="zh-CN" w:bidi="ar-SA"/>
              </w:rPr>
              <w:t>采购标的及所属行业详见报价文件中的《中小企业声明函》。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r>
              <w:rPr>
                <w:rFonts w:hint="eastAsia" w:ascii="仿宋" w:hAnsi="仿宋" w:eastAsia="仿宋" w:cs="仿宋"/>
                <w:kern w:val="0"/>
                <w:sz w:val="24"/>
              </w:rPr>
              <w:sym w:font="Wingdings" w:char="00A8"/>
            </w:r>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r>
              <w:rPr>
                <w:rFonts w:hint="eastAsia" w:ascii="仿宋" w:hAnsi="仿宋" w:eastAsia="仿宋" w:cs="仿宋"/>
                <w:kern w:val="0"/>
                <w:sz w:val="24"/>
              </w:rPr>
              <w:sym w:font="Wingdings" w:char="00FE"/>
            </w:r>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主机及部分装饰类</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lang w:val="en-US" w:eastAsia="zh-CN"/>
              </w:rPr>
              <w:t xml:space="preserve">             </w:t>
            </w:r>
            <w:r>
              <w:rPr>
                <w:rFonts w:hint="eastAsia" w:ascii="仿宋" w:hAnsi="仿宋" w:eastAsia="仿宋" w:cs="仿宋"/>
                <w:sz w:val="24"/>
              </w:rPr>
              <w:t>工作分包。</w:t>
            </w:r>
          </w:p>
          <w:p>
            <w:pPr>
              <w:spacing w:line="360" w:lineRule="auto"/>
              <w:rPr>
                <w:rFonts w:hint="eastAsia" w:ascii="仿宋" w:hAnsi="仿宋" w:eastAsia="仿宋" w:cs="仿宋"/>
                <w:sz w:val="24"/>
              </w:rPr>
            </w:pPr>
            <w:r>
              <w:rPr>
                <w:rFonts w:hint="eastAsia" w:ascii="仿宋" w:hAnsi="仿宋" w:eastAsia="仿宋" w:cs="仿宋"/>
                <w:kern w:val="0"/>
                <w:sz w:val="24"/>
              </w:rPr>
              <w:t xml:space="preserve"> </w:t>
            </w:r>
            <w:r>
              <w:rPr>
                <w:rFonts w:hint="eastAsia" w:ascii="仿宋" w:hAnsi="仿宋" w:eastAsia="仿宋" w:cs="仿宋"/>
                <w:kern w:val="0"/>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lang w:eastAsia="zh-CN"/>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B要求提供</w:t>
            </w:r>
            <w:r>
              <w:rPr>
                <w:rFonts w:hint="eastAsia" w:ascii="仿宋" w:hAnsi="仿宋" w:eastAsia="仿宋" w:cs="仿宋"/>
                <w:kern w:val="0"/>
                <w:sz w:val="24"/>
                <w:lang w:eastAsia="zh-CN"/>
              </w:rPr>
              <w:t>。</w:t>
            </w:r>
          </w:p>
          <w:p>
            <w:pPr>
              <w:numPr>
                <w:ilvl w:val="0"/>
                <w:numId w:val="2"/>
              </w:numPr>
              <w:spacing w:line="360" w:lineRule="auto"/>
              <w:rPr>
                <w:rFonts w:hint="eastAsia" w:ascii="仿宋" w:hAnsi="仿宋" w:eastAsia="仿宋" w:cs="仿宋"/>
                <w:b/>
                <w:bCs/>
                <w:kern w:val="0"/>
                <w:sz w:val="24"/>
                <w:u w:val="single"/>
              </w:rPr>
            </w:pPr>
            <w:r>
              <w:rPr>
                <w:rFonts w:hint="eastAsia" w:ascii="仿宋" w:hAnsi="仿宋" w:eastAsia="仿宋" w:cs="仿宋"/>
                <w:b/>
                <w:bCs/>
                <w:snapToGrid w:val="0"/>
                <w:kern w:val="28"/>
                <w:sz w:val="24"/>
              </w:rPr>
              <w:t>样品：</w:t>
            </w:r>
            <w:r>
              <w:rPr>
                <w:rFonts w:hint="eastAsia" w:ascii="仿宋" w:hAnsi="仿宋" w:eastAsia="仿宋" w:cs="仿宋"/>
                <w:b/>
                <w:bCs/>
                <w:snapToGrid w:val="0"/>
                <w:kern w:val="28"/>
                <w:sz w:val="24"/>
                <w:u w:val="single"/>
                <w:lang w:val="en-US" w:eastAsia="zh-CN"/>
              </w:rPr>
              <w:t xml:space="preserve">            </w:t>
            </w:r>
            <w:r>
              <w:rPr>
                <w:rFonts w:hint="eastAsia" w:ascii="仿宋" w:hAnsi="仿宋" w:eastAsia="仿宋" w:cs="仿宋"/>
                <w:b/>
                <w:bCs/>
                <w:kern w:val="0"/>
                <w:sz w:val="24"/>
                <w:u w:val="single"/>
              </w:rPr>
              <w:t>。</w:t>
            </w:r>
          </w:p>
          <w:p>
            <w:pPr>
              <w:numPr>
                <w:ilvl w:val="0"/>
                <w:numId w:val="2"/>
              </w:numPr>
              <w:spacing w:line="360" w:lineRule="auto"/>
              <w:rPr>
                <w:rFonts w:hint="eastAsia" w:ascii="仿宋" w:hAnsi="仿宋" w:eastAsia="仿宋" w:cs="仿宋"/>
                <w:kern w:val="0"/>
                <w:sz w:val="24"/>
              </w:rPr>
            </w:pP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snapToGrid w:val="0"/>
                <w:kern w:val="28"/>
                <w:sz w:val="24"/>
                <w:u w:val="single"/>
                <w:lang w:val="en-US" w:eastAsia="zh-CN"/>
              </w:rPr>
              <w:t xml:space="preserve">   </w:t>
            </w:r>
            <w:r>
              <w:rPr>
                <w:rFonts w:hint="eastAsia" w:ascii="仿宋" w:hAnsi="仿宋" w:eastAsia="仿宋" w:cs="仿宋"/>
                <w:snapToGrid w:val="0"/>
                <w:kern w:val="28"/>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lang w:val="en-US" w:eastAsia="zh-CN"/>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b/>
                <w:bCs/>
                <w:sz w:val="24"/>
              </w:rPr>
              <w:t>（5）</w:t>
            </w:r>
            <w:r>
              <w:rPr>
                <w:rFonts w:hint="eastAsia" w:ascii="仿宋" w:hAnsi="仿宋" w:eastAsia="仿宋" w:cs="仿宋"/>
                <w:b/>
                <w:bCs/>
                <w:sz w:val="24"/>
                <w:u w:val="single"/>
              </w:rPr>
              <w:t>提供样品的时间：</w:t>
            </w:r>
            <w:r>
              <w:rPr>
                <w:rFonts w:hint="eastAsia" w:ascii="仿宋" w:hAnsi="仿宋" w:eastAsia="仿宋" w:cs="仿宋"/>
                <w:b/>
                <w:bCs/>
                <w:color w:val="auto"/>
                <w:sz w:val="24"/>
                <w:u w:val="single"/>
                <w:lang w:val="en-US" w:eastAsia="zh-CN"/>
              </w:rPr>
              <w:t xml:space="preserve">                    </w:t>
            </w:r>
            <w:r>
              <w:rPr>
                <w:rFonts w:hint="eastAsia" w:ascii="仿宋" w:hAnsi="仿宋" w:eastAsia="仿宋" w:cs="仿宋"/>
                <w:b/>
                <w:bCs/>
                <w:sz w:val="24"/>
                <w:u w:val="single"/>
              </w:rPr>
              <w:t>。</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8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（1）交易中心现场讲解演示。现场讲解地点为</w:t>
            </w:r>
            <w:r>
              <w:rPr>
                <w:rFonts w:hint="eastAsia" w:ascii="仿宋" w:hAnsi="仿宋" w:eastAsia="仿宋" w:cs="仿宋"/>
                <w:color w:val="auto"/>
                <w:kern w:val="0"/>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81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81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w:t>
            </w:r>
            <w:r>
              <w:rPr>
                <w:rFonts w:hint="eastAsia" w:ascii="仿宋" w:hAnsi="仿宋" w:eastAsia="仿宋" w:cs="仿宋"/>
                <w:b/>
                <w:bCs/>
                <w:sz w:val="24"/>
                <w:highlight w:val="none"/>
                <w:lang w:eastAsia="zh-CN"/>
              </w:rPr>
              <w:t>乐</w:t>
            </w:r>
            <w:r>
              <w:rPr>
                <w:rFonts w:hint="eastAsia" w:ascii="仿宋" w:hAnsi="仿宋" w:eastAsia="仿宋" w:cs="仿宋"/>
                <w:b/>
                <w:bCs/>
                <w:sz w:val="24"/>
                <w:highlight w:val="none"/>
              </w:rPr>
              <w:t>采购</w:t>
            </w:r>
            <w:r>
              <w:rPr>
                <w:rFonts w:hint="eastAsia" w:ascii="仿宋" w:hAnsi="仿宋" w:eastAsia="仿宋" w:cs="仿宋"/>
                <w:b/>
                <w:bCs/>
                <w:sz w:val="24"/>
              </w:rPr>
              <w:t>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11</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813" w:type="dxa"/>
            <w:tcBorders>
              <w:top w:val="single" w:color="000000" w:sz="8" w:space="0"/>
              <w:left w:val="single" w:color="000000" w:sz="2" w:space="0"/>
              <w:bottom w:val="single" w:color="auto" w:sz="4" w:space="0"/>
              <w:right w:val="single" w:color="000000" w:sz="8" w:space="0"/>
            </w:tcBorders>
            <w:vAlign w:val="center"/>
          </w:tcPr>
          <w:p>
            <w:pPr>
              <w:pStyle w:val="6"/>
              <w:snapToGrid w:val="0"/>
              <w:spacing w:before="120" w:after="120"/>
              <w:rPr>
                <w:rFonts w:hint="eastAsia" w:ascii="仿宋" w:hAnsi="仿宋" w:eastAsia="仿宋" w:cs="仿宋"/>
                <w:kern w:val="28"/>
                <w:sz w:val="24"/>
                <w:szCs w:val="24"/>
              </w:rPr>
            </w:pPr>
            <w:r>
              <w:rPr>
                <w:rFonts w:hint="eastAsia" w:ascii="仿宋" w:hAnsi="仿宋" w:eastAsia="仿宋" w:cs="仿宋"/>
                <w:kern w:val="28"/>
                <w:sz w:val="24"/>
                <w:szCs w:val="24"/>
              </w:rPr>
              <w:t>本项目实行电子投标。</w:t>
            </w:r>
          </w:p>
          <w:p>
            <w:pPr>
              <w:pStyle w:val="6"/>
              <w:snapToGrid w:val="0"/>
              <w:spacing w:before="120" w:after="120"/>
              <w:ind w:firstLine="360" w:firstLineChars="150"/>
              <w:rPr>
                <w:rFonts w:hint="eastAsia" w:ascii="仿宋" w:hAnsi="仿宋" w:eastAsia="仿宋" w:cs="仿宋"/>
                <w:kern w:val="28"/>
                <w:sz w:val="24"/>
                <w:szCs w:val="24"/>
              </w:rPr>
            </w:pPr>
            <w:r>
              <w:rPr>
                <w:rFonts w:hint="eastAsia" w:ascii="仿宋" w:hAnsi="仿宋" w:eastAsia="仿宋" w:cs="仿宋"/>
                <w:kern w:val="28"/>
                <w:sz w:val="24"/>
                <w:szCs w:val="24"/>
              </w:rPr>
              <w:t>1.供应商应准备电子投标文件、以介质存储的数据电文形式的备份投标文件两类：</w:t>
            </w:r>
          </w:p>
          <w:p>
            <w:pPr>
              <w:pStyle w:val="6"/>
              <w:snapToGrid w:val="0"/>
              <w:spacing w:before="120" w:after="120"/>
              <w:ind w:firstLine="240" w:firstLineChars="100"/>
              <w:rPr>
                <w:rFonts w:hint="eastAsia" w:ascii="仿宋" w:hAnsi="仿宋" w:eastAsia="仿宋" w:cs="仿宋"/>
                <w:kern w:val="28"/>
                <w:sz w:val="24"/>
                <w:szCs w:val="24"/>
                <w:highlight w:val="none"/>
              </w:rPr>
            </w:pPr>
            <w:r>
              <w:rPr>
                <w:rFonts w:hint="eastAsia" w:ascii="仿宋" w:hAnsi="仿宋" w:eastAsia="仿宋" w:cs="仿宋"/>
                <w:kern w:val="28"/>
                <w:sz w:val="24"/>
                <w:szCs w:val="24"/>
              </w:rPr>
              <w:t>（1）电子投标文件，</w:t>
            </w:r>
            <w:r>
              <w:rPr>
                <w:rFonts w:hint="eastAsia" w:ascii="仿宋" w:hAnsi="仿宋" w:eastAsia="仿宋" w:cs="仿宋"/>
                <w:kern w:val="28"/>
                <w:sz w:val="24"/>
                <w:szCs w:val="24"/>
                <w:highlight w:val="none"/>
              </w:rPr>
              <w:t>按</w:t>
            </w:r>
            <w:r>
              <w:rPr>
                <w:rFonts w:hint="eastAsia" w:ascii="仿宋" w:hAnsi="仿宋" w:eastAsia="仿宋" w:cs="仿宋"/>
                <w:kern w:val="28"/>
                <w:sz w:val="24"/>
                <w:szCs w:val="24"/>
                <w:highlight w:val="none"/>
                <w:lang w:eastAsia="zh-CN"/>
              </w:rPr>
              <w:t>乐</w:t>
            </w:r>
            <w:r>
              <w:rPr>
                <w:rFonts w:hint="eastAsia" w:ascii="仿宋" w:hAnsi="仿宋" w:eastAsia="仿宋" w:cs="仿宋"/>
                <w:kern w:val="28"/>
                <w:sz w:val="24"/>
                <w:szCs w:val="24"/>
                <w:highlight w:val="none"/>
              </w:rPr>
              <w:t>采云平台项目采购-电子招投标操作指南及本招标文件要求递交。</w:t>
            </w:r>
          </w:p>
          <w:p>
            <w:pPr>
              <w:pStyle w:val="6"/>
              <w:snapToGrid w:val="0"/>
              <w:spacing w:before="120" w:after="120"/>
              <w:ind w:firstLine="240" w:firstLineChars="100"/>
              <w:rPr>
                <w:rFonts w:hint="eastAsia" w:ascii="仿宋" w:hAnsi="仿宋" w:eastAsia="仿宋" w:cs="仿宋"/>
                <w:kern w:val="28"/>
                <w:sz w:val="24"/>
                <w:szCs w:val="24"/>
                <w:highlight w:val="none"/>
              </w:rPr>
            </w:pPr>
            <w:r>
              <w:rPr>
                <w:rFonts w:hint="eastAsia" w:ascii="仿宋" w:hAnsi="仿宋" w:eastAsia="仿宋" w:cs="仿宋"/>
                <w:kern w:val="28"/>
                <w:sz w:val="24"/>
                <w:szCs w:val="24"/>
                <w:highlight w:val="none"/>
              </w:rPr>
              <w:t>（2）以介质存储的数据电文形式的备份投标文件：按</w:t>
            </w:r>
            <w:r>
              <w:rPr>
                <w:rFonts w:hint="eastAsia" w:ascii="仿宋" w:hAnsi="仿宋" w:eastAsia="仿宋" w:cs="仿宋"/>
                <w:kern w:val="28"/>
                <w:sz w:val="24"/>
                <w:szCs w:val="24"/>
                <w:highlight w:val="none"/>
                <w:lang w:eastAsia="zh-CN"/>
              </w:rPr>
              <w:t>乐</w:t>
            </w:r>
            <w:r>
              <w:rPr>
                <w:rFonts w:hint="eastAsia" w:ascii="仿宋" w:hAnsi="仿宋" w:eastAsia="仿宋" w:cs="仿宋"/>
                <w:kern w:val="28"/>
                <w:sz w:val="24"/>
                <w:szCs w:val="24"/>
                <w:highlight w:val="none"/>
              </w:rPr>
              <w:t>采云平台项目采购-电子招投标操作指南制作备份投标文件（后缀名为.bfbs），在投标截止时间前以电子邮件形式递交至(</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"mailto:2990430955@qq.com" </w:instrText>
            </w:r>
            <w:r>
              <w:rPr>
                <w:rFonts w:hint="eastAsia" w:ascii="仿宋" w:hAnsi="仿宋" w:eastAsia="仿宋" w:cs="仿宋"/>
                <w:highlight w:val="none"/>
              </w:rPr>
              <w:fldChar w:fldCharType="separate"/>
            </w:r>
            <w:r>
              <w:rPr>
                <w:rFonts w:hint="eastAsia" w:ascii="仿宋" w:hAnsi="仿宋" w:eastAsia="仿宋" w:cs="仿宋"/>
                <w:kern w:val="28"/>
                <w:sz w:val="24"/>
                <w:szCs w:val="24"/>
                <w:highlight w:val="none"/>
                <w:lang w:val="en-US" w:eastAsia="zh-CN"/>
              </w:rPr>
              <w:t>601546348</w:t>
            </w:r>
            <w:r>
              <w:rPr>
                <w:rFonts w:hint="eastAsia" w:ascii="仿宋" w:hAnsi="仿宋" w:eastAsia="仿宋" w:cs="仿宋"/>
                <w:kern w:val="28"/>
                <w:sz w:val="24"/>
                <w:szCs w:val="24"/>
                <w:highlight w:val="none"/>
              </w:rPr>
              <w:t>@qq.com</w:t>
            </w:r>
            <w:r>
              <w:rPr>
                <w:rFonts w:hint="eastAsia" w:ascii="仿宋" w:hAnsi="仿宋" w:eastAsia="仿宋" w:cs="仿宋"/>
                <w:kern w:val="28"/>
                <w:sz w:val="24"/>
                <w:szCs w:val="24"/>
                <w:highlight w:val="none"/>
              </w:rPr>
              <w:fldChar w:fldCharType="end"/>
            </w:r>
            <w:r>
              <w:rPr>
                <w:rFonts w:hint="eastAsia" w:ascii="仿宋" w:hAnsi="仿宋" w:eastAsia="仿宋" w:cs="仿宋"/>
                <w:kern w:val="28"/>
                <w:sz w:val="24"/>
                <w:szCs w:val="24"/>
                <w:highlight w:val="none"/>
              </w:rPr>
              <w:t>)。</w:t>
            </w:r>
          </w:p>
          <w:p>
            <w:pPr>
              <w:snapToGrid w:val="0"/>
              <w:ind w:firstLine="240" w:firstLineChars="100"/>
              <w:rPr>
                <w:rFonts w:hint="eastAsia" w:ascii="仿宋" w:hAnsi="仿宋" w:eastAsia="仿宋" w:cs="仿宋"/>
                <w:snapToGrid w:val="0"/>
                <w:kern w:val="28"/>
                <w:sz w:val="24"/>
              </w:rPr>
            </w:pPr>
            <w:r>
              <w:rPr>
                <w:rFonts w:hint="eastAsia" w:ascii="仿宋" w:hAnsi="仿宋" w:eastAsia="仿宋" w:cs="仿宋"/>
                <w:snapToGrid w:val="0"/>
                <w:kern w:val="28"/>
                <w:sz w:val="24"/>
              </w:rPr>
              <w:t>（3）投标文件启用顺序和效力。投标文件的启用，按先后顺位分别为电子投标文件、以介质存储的数据电文形式的备份投标文件。顺位在先的投标文件已按时解密的，备份投标文件自动失效。</w:t>
            </w:r>
          </w:p>
          <w:p>
            <w:pPr>
              <w:rPr>
                <w:rFonts w:hint="eastAsia" w:ascii="仿宋" w:hAnsi="仿宋" w:eastAsia="仿宋" w:cs="仿宋"/>
                <w:snapToGrid w:val="0"/>
                <w:kern w:val="28"/>
                <w:sz w:val="24"/>
              </w:rPr>
            </w:pPr>
            <w:r>
              <w:rPr>
                <w:rFonts w:hint="eastAsia" w:ascii="仿宋" w:hAnsi="仿宋" w:eastAsia="仿宋" w:cs="仿宋"/>
                <w:snapToGrid w:val="0"/>
                <w:kern w:val="28"/>
                <w:sz w:val="24"/>
              </w:rPr>
              <w:t>▲未传输递交电子投标文件的，投标无效。</w:t>
            </w:r>
          </w:p>
          <w:p>
            <w:pPr>
              <w:pStyle w:val="6"/>
              <w:spacing w:line="360" w:lineRule="auto"/>
              <w:rPr>
                <w:rFonts w:hint="eastAsia" w:ascii="仿宋" w:hAnsi="仿宋" w:eastAsia="仿宋" w:cs="仿宋"/>
                <w:kern w:val="28"/>
                <w:sz w:val="24"/>
              </w:rPr>
            </w:pPr>
            <w:r>
              <w:rPr>
                <w:rFonts w:hint="eastAsia" w:ascii="仿宋" w:hAnsi="仿宋" w:eastAsia="仿宋" w:cs="仿宋"/>
                <w:kern w:val="28"/>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1"/>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1052570136"/>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A8"/>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val="0"/>
                <w:kern w:val="0"/>
                <w:sz w:val="24"/>
              </w:rPr>
            </w:pPr>
            <w:r>
              <w:rPr>
                <w:rFonts w:hint="eastAsia" w:ascii="仿宋" w:hAnsi="仿宋" w:eastAsia="仿宋" w:cs="仿宋"/>
                <w:b w:val="0"/>
                <w:bCs w:val="0"/>
                <w:sz w:val="24"/>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val="0"/>
                <w:sz w:val="24"/>
              </w:rPr>
            </w:pPr>
            <w:r>
              <w:rPr>
                <w:rFonts w:hint="eastAsia" w:ascii="仿宋" w:hAnsi="仿宋" w:eastAsia="仿宋" w:cs="仿宋"/>
                <w:b/>
                <w:bCs/>
                <w:sz w:val="24"/>
              </w:rPr>
              <w:t>如发现投标单位提供虚假材料参与我县国有企业采购投标活动的，无论中标与否，将取消该投标单位在本平台三年内的投标资格。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p>
        </w:tc>
        <w:tc>
          <w:tcPr>
            <w:tcW w:w="681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 w:val="0"/>
                <w:bCs w:val="0"/>
                <w:sz w:val="24"/>
              </w:rPr>
            </w:pPr>
            <w:r>
              <w:rPr>
                <w:rFonts w:hint="eastAsia" w:ascii="仿宋" w:hAnsi="仿宋" w:eastAsia="仿宋" w:cs="仿宋"/>
                <w:snapToGrid w:val="0"/>
                <w:kern w:val="28"/>
                <w:sz w:val="24"/>
              </w:rPr>
              <w:t>中标后提供纸质投标文件正本1份，副本1份。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招标代理服务费</w:t>
            </w:r>
          </w:p>
        </w:tc>
        <w:tc>
          <w:tcPr>
            <w:tcW w:w="6813" w:type="dxa"/>
            <w:tcBorders>
              <w:top w:val="single" w:color="auto" w:sz="4" w:space="0"/>
              <w:left w:val="single" w:color="auto" w:sz="4" w:space="0"/>
              <w:bottom w:val="single" w:color="auto" w:sz="4" w:space="0"/>
              <w:right w:val="single" w:color="auto" w:sz="4" w:space="0"/>
            </w:tcBorders>
            <w:vAlign w:val="center"/>
          </w:tcPr>
          <w:p>
            <w:pPr>
              <w:pStyle w:val="24"/>
              <w:rPr>
                <w:rFonts w:hint="eastAsia" w:ascii="仿宋" w:hAnsi="仿宋" w:eastAsia="仿宋" w:cs="仿宋"/>
                <w:sz w:val="24"/>
              </w:rPr>
            </w:pPr>
            <w:r>
              <w:rPr>
                <w:rFonts w:hint="eastAsia" w:ascii="仿宋" w:hAnsi="仿宋" w:eastAsia="仿宋" w:cs="仿宋"/>
                <w:sz w:val="24"/>
              </w:rPr>
              <w:t>本项目的招标代理服务费由中标人一次性向招标代理机构交付，由淳安县产权经纪有限公司统一代收。本项目根据淳国资办[2021]32号文《淳安县国有资产监督管理办公室关于明确国有产权交易、货物与服务采购收费标准及费用分配的通知》收取招标代理费</w:t>
            </w:r>
            <w:r>
              <w:rPr>
                <w:rFonts w:hint="eastAsia" w:ascii="仿宋" w:hAnsi="仿宋" w:eastAsia="仿宋" w:cs="仿宋"/>
                <w:sz w:val="24"/>
                <w:highlight w:val="none"/>
              </w:rPr>
              <w:t>（收费附表见附件</w:t>
            </w:r>
            <w:r>
              <w:rPr>
                <w:rFonts w:hint="eastAsia" w:ascii="仿宋" w:hAnsi="仿宋" w:eastAsia="仿宋" w:cs="仿宋"/>
                <w:sz w:val="24"/>
                <w:highlight w:val="none"/>
                <w:lang w:val="en-US" w:eastAsia="zh-CN"/>
              </w:rPr>
              <w:t>8</w:t>
            </w:r>
            <w:r>
              <w:rPr>
                <w:rFonts w:hint="eastAsia" w:ascii="仿宋" w:hAnsi="仿宋" w:eastAsia="仿宋" w:cs="仿宋"/>
                <w:sz w:val="24"/>
                <w:highlight w:val="none"/>
              </w:rPr>
              <w:t>）</w:t>
            </w:r>
            <w:r>
              <w:rPr>
                <w:rFonts w:hint="eastAsia" w:ascii="仿宋" w:hAnsi="仿宋" w:eastAsia="仿宋" w:cs="仿宋"/>
                <w:sz w:val="24"/>
              </w:rPr>
              <w:t>，其余按实收取,本项目采购评审费由采购单位支付。</w:t>
            </w:r>
          </w:p>
          <w:p>
            <w:pPr>
              <w:pStyle w:val="24"/>
              <w:rPr>
                <w:rFonts w:hint="eastAsia" w:ascii="仿宋" w:hAnsi="仿宋" w:eastAsia="仿宋" w:cs="仿宋"/>
                <w:kern w:val="28"/>
                <w:szCs w:val="24"/>
                <w:highlight w:val="none"/>
                <w:lang w:val="en-US"/>
              </w:rPr>
            </w:pPr>
            <w:r>
              <w:rPr>
                <w:rFonts w:hint="eastAsia" w:ascii="仿宋" w:hAnsi="仿宋" w:eastAsia="仿宋" w:cs="仿宋"/>
                <w:kern w:val="28"/>
                <w:szCs w:val="24"/>
                <w:highlight w:val="none"/>
                <w:lang w:val="en-US"/>
              </w:rPr>
              <w:t>户名：淳安县</w:t>
            </w:r>
            <w:r>
              <w:rPr>
                <w:rFonts w:hint="eastAsia" w:ascii="仿宋" w:hAnsi="仿宋" w:eastAsia="仿宋" w:cs="仿宋"/>
                <w:kern w:val="28"/>
                <w:szCs w:val="24"/>
                <w:highlight w:val="none"/>
                <w:lang w:val="en-US" w:eastAsia="zh-CN"/>
              </w:rPr>
              <w:t>产权经纪有限公司</w:t>
            </w:r>
          </w:p>
          <w:p>
            <w:pPr>
              <w:pStyle w:val="6"/>
              <w:snapToGrid w:val="0"/>
              <w:spacing w:before="120" w:after="120"/>
              <w:rPr>
                <w:rFonts w:hint="eastAsia" w:ascii="仿宋" w:hAnsi="仿宋" w:eastAsia="仿宋" w:cs="仿宋"/>
                <w:kern w:val="28"/>
                <w:sz w:val="24"/>
                <w:szCs w:val="24"/>
                <w:highlight w:val="none"/>
                <w:lang w:val="en-US" w:eastAsia="zh-CN"/>
              </w:rPr>
            </w:pPr>
            <w:r>
              <w:rPr>
                <w:rFonts w:hint="eastAsia" w:ascii="仿宋" w:hAnsi="仿宋" w:eastAsia="仿宋" w:cs="仿宋"/>
                <w:kern w:val="28"/>
                <w:sz w:val="24"/>
                <w:szCs w:val="24"/>
                <w:highlight w:val="none"/>
              </w:rPr>
              <w:t>开户行：</w:t>
            </w:r>
            <w:r>
              <w:rPr>
                <w:rFonts w:hint="eastAsia" w:ascii="仿宋" w:hAnsi="仿宋" w:eastAsia="仿宋" w:cs="仿宋"/>
                <w:kern w:val="28"/>
                <w:sz w:val="24"/>
                <w:szCs w:val="24"/>
                <w:highlight w:val="none"/>
                <w:lang w:val="en-US" w:eastAsia="zh-CN"/>
              </w:rPr>
              <w:t>淳安农村商业银行股份有限公司南山支行宏山分理处</w:t>
            </w:r>
          </w:p>
          <w:p>
            <w:pPr>
              <w:pStyle w:val="6"/>
              <w:snapToGrid w:val="0"/>
              <w:spacing w:before="120" w:after="120"/>
              <w:rPr>
                <w:rFonts w:hint="eastAsia" w:ascii="仿宋" w:hAnsi="仿宋" w:eastAsia="仿宋" w:cs="仿宋"/>
                <w:kern w:val="28"/>
                <w:sz w:val="24"/>
                <w:szCs w:val="24"/>
                <w:highlight w:val="none"/>
              </w:rPr>
            </w:pPr>
            <w:r>
              <w:rPr>
                <w:rFonts w:hint="eastAsia" w:ascii="仿宋" w:hAnsi="仿宋" w:eastAsia="仿宋" w:cs="仿宋"/>
                <w:kern w:val="28"/>
                <w:sz w:val="24"/>
                <w:szCs w:val="24"/>
                <w:highlight w:val="none"/>
              </w:rPr>
              <w:t>账号：</w:t>
            </w:r>
            <w:r>
              <w:rPr>
                <w:rFonts w:hint="eastAsia" w:ascii="仿宋" w:hAnsi="仿宋" w:eastAsia="仿宋" w:cs="仿宋"/>
                <w:kern w:val="28"/>
                <w:sz w:val="24"/>
                <w:szCs w:val="24"/>
                <w:highlight w:val="none"/>
                <w:lang w:val="en-US" w:eastAsia="zh-CN"/>
              </w:rPr>
              <w:t>201000141262838</w:t>
            </w:r>
            <w:r>
              <w:rPr>
                <w:rFonts w:hint="eastAsia" w:ascii="仿宋" w:hAnsi="仿宋" w:eastAsia="仿宋" w:cs="仿宋"/>
                <w:kern w:val="28"/>
                <w:sz w:val="24"/>
                <w:szCs w:val="24"/>
                <w:highlight w:val="none"/>
              </w:rPr>
              <w:t>   </w:t>
            </w:r>
          </w:p>
          <w:p>
            <w:pPr>
              <w:snapToGrid w:val="0"/>
              <w:spacing w:line="360" w:lineRule="auto"/>
              <w:jc w:val="left"/>
              <w:rPr>
                <w:rFonts w:hint="eastAsia" w:ascii="仿宋" w:hAnsi="仿宋" w:eastAsia="仿宋" w:cs="仿宋"/>
                <w:snapToGrid w:val="0"/>
                <w:kern w:val="28"/>
                <w:sz w:val="24"/>
                <w:highlight w:val="none"/>
                <w:lang w:val="en-US" w:eastAsia="zh-CN"/>
              </w:rPr>
            </w:pPr>
            <w:r>
              <w:rPr>
                <w:rFonts w:hint="eastAsia" w:ascii="仿宋" w:hAnsi="仿宋" w:eastAsia="仿宋" w:cs="仿宋"/>
                <w:snapToGrid w:val="0"/>
                <w:kern w:val="28"/>
                <w:sz w:val="24"/>
                <w:highlight w:val="none"/>
              </w:rPr>
              <w:t>行号：</w:t>
            </w:r>
            <w:r>
              <w:rPr>
                <w:rFonts w:hint="eastAsia" w:ascii="仿宋" w:hAnsi="仿宋" w:eastAsia="仿宋" w:cs="仿宋"/>
                <w:snapToGrid w:val="0"/>
                <w:kern w:val="28"/>
                <w:sz w:val="24"/>
                <w:highlight w:val="none"/>
                <w:lang w:val="en-US" w:eastAsia="zh-CN"/>
              </w:rPr>
              <w:t>402331008495</w:t>
            </w:r>
          </w:p>
          <w:p>
            <w:pPr>
              <w:spacing w:line="360" w:lineRule="auto"/>
              <w:rPr>
                <w:rFonts w:hint="eastAsia" w:ascii="仿宋" w:hAnsi="仿宋" w:eastAsia="仿宋" w:cs="仿宋"/>
                <w:kern w:val="0"/>
                <w:sz w:val="24"/>
              </w:rPr>
            </w:pPr>
            <w:r>
              <w:rPr>
                <w:rFonts w:hint="eastAsia" w:ascii="仿宋" w:hAnsi="仿宋" w:eastAsia="仿宋" w:cs="仿宋"/>
                <w:snapToGrid w:val="0"/>
                <w:kern w:val="28"/>
                <w:sz w:val="24"/>
              </w:rPr>
              <w:t>联系人：</w:t>
            </w:r>
            <w:r>
              <w:rPr>
                <w:rFonts w:hint="eastAsia" w:ascii="仿宋" w:hAnsi="仿宋" w:eastAsia="仿宋" w:cs="仿宋"/>
                <w:color w:val="000000"/>
                <w:sz w:val="24"/>
              </w:rPr>
              <w:t xml:space="preserve">周有英    </w:t>
            </w:r>
            <w:r>
              <w:rPr>
                <w:rFonts w:hint="eastAsia" w:ascii="仿宋" w:hAnsi="仿宋" w:eastAsia="仿宋" w:cs="仿宋"/>
                <w:snapToGrid w:val="0"/>
                <w:kern w:val="28"/>
                <w:sz w:val="24"/>
              </w:rPr>
              <w:t>      联系电话：</w:t>
            </w:r>
            <w:r>
              <w:rPr>
                <w:rFonts w:hint="eastAsia" w:ascii="仿宋" w:hAnsi="仿宋" w:eastAsia="仿宋" w:cs="仿宋"/>
                <w:color w:val="000000"/>
                <w:sz w:val="24"/>
              </w:rPr>
              <w:t>0571-64880506</w:t>
            </w:r>
          </w:p>
        </w:tc>
      </w:tr>
    </w:tbl>
    <w:p>
      <w:pPr>
        <w:snapToGrid w:val="0"/>
        <w:spacing w:line="360" w:lineRule="auto"/>
        <w:jc w:val="center"/>
        <w:rPr>
          <w:rFonts w:hint="eastAsia" w:ascii="仿宋" w:hAnsi="仿宋" w:eastAsia="仿宋" w:cs="仿宋"/>
          <w:b/>
          <w:sz w:val="32"/>
          <w:szCs w:val="20"/>
        </w:rPr>
      </w:pPr>
    </w:p>
    <w:bookmarkEnd w:id="9"/>
    <w:p>
      <w:pPr>
        <w:adjustRightInd/>
        <w:spacing w:line="360" w:lineRule="auto"/>
        <w:ind w:firstLine="3845" w:firstLineChars="1197"/>
        <w:outlineLvl w:val="0"/>
        <w:rPr>
          <w:rFonts w:hint="eastAsia" w:ascii="仿宋" w:hAnsi="仿宋" w:eastAsia="仿宋" w:cs="仿宋"/>
          <w:b/>
          <w:sz w:val="32"/>
          <w:szCs w:val="20"/>
        </w:rPr>
      </w:pPr>
      <w:bookmarkStart w:id="11" w:name="第三部分"/>
      <w:bookmarkStart w:id="12" w:name="_Toc164416483"/>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p>
    <w:p>
      <w:pPr>
        <w:adjustRightInd/>
        <w:spacing w:line="360" w:lineRule="auto"/>
        <w:ind w:firstLine="3845" w:firstLineChars="1197"/>
        <w:outlineLvl w:val="0"/>
        <w:rPr>
          <w:rFonts w:hint="eastAsia" w:ascii="仿宋" w:hAnsi="仿宋" w:eastAsia="仿宋" w:cs="仿宋"/>
          <w:b/>
          <w:sz w:val="32"/>
          <w:szCs w:val="20"/>
        </w:rPr>
      </w:pPr>
      <w:r>
        <w:rPr>
          <w:rFonts w:hint="eastAsia" w:ascii="仿宋" w:hAnsi="仿宋" w:eastAsia="仿宋" w:cs="仿宋"/>
          <w:b/>
          <w:sz w:val="32"/>
          <w:szCs w:val="20"/>
        </w:rPr>
        <w:t>一、总则</w:t>
      </w:r>
    </w:p>
    <w:p>
      <w:pPr>
        <w:pStyle w:val="24"/>
        <w:rPr>
          <w:rFonts w:hint="eastAsia" w:ascii="仿宋" w:hAnsi="仿宋" w:eastAsia="仿宋" w:cs="仿宋"/>
        </w:rPr>
      </w:pP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仿宋" w:hAnsi="仿宋" w:eastAsia="仿宋" w:cs="仿宋"/>
          <w:sz w:val="24"/>
          <w:lang w:val="en-US" w:eastAsia="zh-CN"/>
        </w:rPr>
        <w:t>5</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rPr>
        <w:t>2.6“电子交易平台”系指本项目采购活动所依托的</w:t>
      </w:r>
      <w:r>
        <w:rPr>
          <w:rFonts w:hint="eastAsia" w:ascii="仿宋" w:hAnsi="仿宋" w:eastAsia="仿宋" w:cs="仿宋"/>
          <w:color w:val="C00000"/>
          <w:sz w:val="24"/>
          <w:highlight w:val="none"/>
          <w:lang w:eastAsia="zh-CN"/>
        </w:rPr>
        <w:t>乐</w:t>
      </w:r>
      <w:r>
        <w:rPr>
          <w:rFonts w:hint="eastAsia" w:ascii="仿宋" w:hAnsi="仿宋" w:eastAsia="仿宋" w:cs="仿宋"/>
          <w:color w:val="C00000"/>
          <w:sz w:val="24"/>
          <w:highlight w:val="none"/>
        </w:rPr>
        <w:t>采云平台（https://www.</w:t>
      </w:r>
      <w:r>
        <w:rPr>
          <w:rFonts w:hint="eastAsia" w:ascii="仿宋" w:hAnsi="仿宋" w:eastAsia="仿宋" w:cs="仿宋"/>
          <w:color w:val="C00000"/>
          <w:sz w:val="24"/>
          <w:highlight w:val="none"/>
          <w:lang w:val="en-US" w:eastAsia="zh-CN"/>
        </w:rPr>
        <w:t>lecaiyun.com</w:t>
      </w:r>
      <w:r>
        <w:rPr>
          <w:rFonts w:hint="eastAsia" w:ascii="仿宋" w:hAnsi="仿宋" w:eastAsia="仿宋" w:cs="仿宋"/>
          <w:color w:val="C00000"/>
          <w:sz w:val="24"/>
          <w:highlight w:val="none"/>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w:t>
      </w:r>
      <w:r>
        <w:rPr>
          <w:rFonts w:hint="eastAsia" w:ascii="仿宋" w:hAnsi="仿宋" w:eastAsia="仿宋" w:cs="仿宋"/>
          <w:sz w:val="24"/>
          <w:highlight w:val="none"/>
          <w:lang w:eastAsia="zh-CN"/>
        </w:rPr>
        <w:t>县</w:t>
      </w:r>
      <w:r>
        <w:rPr>
          <w:rFonts w:hint="eastAsia" w:ascii="仿宋" w:hAnsi="仿宋" w:eastAsia="仿宋" w:cs="仿宋"/>
          <w:sz w:val="24"/>
          <w:highlight w:val="none"/>
        </w:rPr>
        <w:t>财政</w:t>
      </w:r>
      <w:r>
        <w:rPr>
          <w:rFonts w:hint="eastAsia" w:ascii="仿宋" w:hAnsi="仿宋" w:eastAsia="仿宋" w:cs="仿宋"/>
          <w:sz w:val="24"/>
          <w:highlight w:val="none"/>
          <w:lang w:eastAsia="zh-CN"/>
        </w:rPr>
        <w:t>局（国资办）</w:t>
      </w:r>
      <w:r>
        <w:rPr>
          <w:rFonts w:hint="eastAsia" w:ascii="仿宋" w:hAnsi="仿宋" w:eastAsia="仿宋" w:cs="仿宋"/>
          <w:sz w:val="24"/>
        </w:rPr>
        <w:t>提出申请并获得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3.2.</w:t>
      </w:r>
      <w:r>
        <w:rPr>
          <w:rFonts w:hint="eastAsia" w:ascii="仿宋" w:hAnsi="仿宋" w:eastAsia="仿宋" w:cs="仿宋"/>
          <w:sz w:val="24"/>
          <w:lang w:val="en-US" w:eastAsia="zh-CN"/>
        </w:rPr>
        <w:t>2</w:t>
      </w:r>
      <w:r>
        <w:rPr>
          <w:rFonts w:hint="eastAsia" w:ascii="仿宋" w:hAnsi="仿宋" w:eastAsia="仿宋" w:cs="仿宋"/>
          <w:sz w:val="24"/>
        </w:rPr>
        <w:t>为助力打好污染防治攻坚战，推广使用绿色包装，采购货物、工程和服务项目中涉及商品包装和快递包装的，供应商提供产品及相关快递服务的具体包装要求要参考《商品包装政府采购需求标准（试行）》、《快递包装政府采购需求标准（试行）》。</w:t>
      </w:r>
      <w:bookmarkStart w:id="13" w:name="_Hlk107568539"/>
      <w:r>
        <w:rPr>
          <w:rFonts w:hint="eastAsia" w:ascii="仿宋" w:hAnsi="仿宋" w:eastAsia="仿宋" w:cs="仿宋"/>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w:t>
      </w:r>
      <w:r>
        <w:rPr>
          <w:rFonts w:hint="eastAsia" w:ascii="仿宋" w:hAnsi="仿宋" w:eastAsia="仿宋" w:cs="仿宋"/>
          <w:sz w:val="24"/>
          <w:lang w:val="en-US" w:eastAsia="zh-CN"/>
        </w:rPr>
        <w:t>3</w:t>
      </w:r>
      <w:r>
        <w:rPr>
          <w:rFonts w:hint="eastAsia" w:ascii="仿宋" w:hAnsi="仿宋" w:eastAsia="仿宋" w:cs="仿宋"/>
          <w:sz w:val="24"/>
        </w:rPr>
        <w:t xml:space="preserve"> 鼓励供应商在参加采购过程中开展绿色设计、选择绿色材料、打造绿色制造工艺、开展绿色运输、做好废弃产品回收处理，实现产品全周期的绿色环保。鼓励采购单位对其提高预付款比例、免收履约保证金。</w:t>
      </w:r>
      <w:bookmarkEnd w:id="13"/>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3.3.3对于未预留份额专门面向中小企业的采购货物项目</w:t>
      </w:r>
      <w:r>
        <w:rPr>
          <w:rFonts w:hint="eastAsia" w:ascii="仿宋" w:hAnsi="仿宋" w:eastAsia="仿宋" w:cs="仿宋"/>
          <w:sz w:val="24"/>
          <w:highlight w:val="none"/>
        </w:rPr>
        <w:t>，以及预留份额采购货物项目中的非预留部分标项，对小型和微型企业的投标报价给予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的扣除，用扣除后的价格参与评审。接受大中型企业与小微企业组成联合体或者允许大中型企业向一家或者多家小微企业分包的采购货物项目，对于</w:t>
      </w:r>
      <w:bookmarkStart w:id="14" w:name="_Hlk101132181"/>
      <w:r>
        <w:rPr>
          <w:rFonts w:hint="eastAsia" w:ascii="仿宋" w:hAnsi="仿宋" w:eastAsia="仿宋" w:cs="仿宋"/>
          <w:sz w:val="24"/>
          <w:highlight w:val="none"/>
        </w:rPr>
        <w:t>联合协议或者分包意向协议约定小微企业的合同份额占到合同总金额30%以上的</w:t>
      </w:r>
      <w:bookmarkEnd w:id="14"/>
      <w:r>
        <w:rPr>
          <w:rFonts w:hint="eastAsia" w:ascii="仿宋" w:hAnsi="仿宋" w:eastAsia="仿宋" w:cs="仿宋"/>
          <w:sz w:val="24"/>
          <w:highlight w:val="none"/>
        </w:rPr>
        <w:t>，对联合体或者大中型企业的报价给予</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的扣除，用扣除后的价格参加评审。组成联合体或者接受分包的小微企业与联合体内其他</w:t>
      </w:r>
      <w:r>
        <w:rPr>
          <w:rFonts w:hint="eastAsia" w:ascii="仿宋" w:hAnsi="仿宋" w:eastAsia="仿宋" w:cs="仿宋"/>
          <w:sz w:val="24"/>
        </w:rPr>
        <w:t>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3.3.7中小企业享受扶持政策获得采购合同的，小微企业不得将合同分包给大中型企业，中型企业不得将合同分包给大型企业。</w:t>
      </w:r>
    </w:p>
    <w:p>
      <w:pPr>
        <w:spacing w:line="360" w:lineRule="auto"/>
        <w:ind w:firstLine="422" w:firstLineChars="200"/>
        <w:rPr>
          <w:rFonts w:hint="eastAsia" w:ascii="仿宋" w:hAnsi="仿宋" w:eastAsia="仿宋" w:cs="仿宋"/>
          <w:b/>
        </w:rPr>
      </w:pPr>
      <w:r>
        <w:rPr>
          <w:rFonts w:hint="eastAsia" w:ascii="仿宋" w:hAnsi="仿宋" w:eastAsia="仿宋" w:cs="仿宋"/>
          <w:b/>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4.3供应商质疑</w:t>
      </w:r>
    </w:p>
    <w:p>
      <w:pPr>
        <w:pStyle w:val="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6"/>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6"/>
        <w:spacing w:line="360" w:lineRule="auto"/>
        <w:ind w:left="479" w:leftChars="228"/>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4.3.3.4事实依据；</w:t>
      </w:r>
    </w:p>
    <w:p>
      <w:pPr>
        <w:pStyle w:val="6"/>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6"/>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7"/>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w:t>
      </w:r>
      <w:r>
        <w:rPr>
          <w:rFonts w:hint="eastAsia" w:ascii="仿宋" w:hAnsi="仿宋" w:eastAsia="仿宋" w:cs="仿宋"/>
          <w:lang w:val="en-US" w:eastAsia="zh-CN"/>
        </w:rPr>
        <w:t>3</w:t>
      </w:r>
      <w:r>
        <w:rPr>
          <w:rFonts w:hint="eastAsia" w:ascii="仿宋" w:hAnsi="仿宋" w:eastAsia="仿宋" w:cs="仿宋"/>
        </w:rPr>
        <w:t>。</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4.4供应商投诉</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w:t>
      </w:r>
      <w:r>
        <w:rPr>
          <w:rFonts w:hint="eastAsia" w:ascii="仿宋" w:hAnsi="仿宋" w:eastAsia="仿宋" w:cs="仿宋"/>
          <w:color w:val="auto"/>
          <w:highlight w:val="none"/>
          <w:lang w:eastAsia="zh-CN"/>
        </w:rPr>
        <w:t>采购单位纪检监察</w:t>
      </w:r>
      <w:r>
        <w:rPr>
          <w:rFonts w:hint="eastAsia" w:ascii="仿宋" w:hAnsi="仿宋" w:eastAsia="仿宋" w:cs="仿宋"/>
          <w:color w:val="auto"/>
          <w:highlight w:val="none"/>
        </w:rPr>
        <w:t>部门</w:t>
      </w:r>
      <w:r>
        <w:rPr>
          <w:rFonts w:hint="eastAsia" w:ascii="仿宋" w:hAnsi="仿宋" w:eastAsia="仿宋" w:cs="仿宋"/>
        </w:rPr>
        <w:t>提出投诉。</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4.4.4 以联合体形式参加采购活动的，其投诉应当由组成联合体的所有供应商共同提出。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4.4.5投诉书范本及制作说明详见附件</w:t>
      </w:r>
      <w:r>
        <w:rPr>
          <w:rFonts w:hint="eastAsia" w:ascii="仿宋" w:hAnsi="仿宋" w:eastAsia="仿宋" w:cs="仿宋"/>
          <w:lang w:val="en-US" w:eastAsia="zh-CN"/>
        </w:rPr>
        <w:t>4</w:t>
      </w:r>
      <w:r>
        <w:rPr>
          <w:rFonts w:hint="eastAsia" w:ascii="仿宋" w:hAnsi="仿宋" w:eastAsia="仿宋" w:cs="仿宋"/>
        </w:rPr>
        <w:t>。</w:t>
      </w:r>
    </w:p>
    <w:p>
      <w:pPr>
        <w:pStyle w:val="132"/>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6"/>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32"/>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32"/>
        <w:snapToGrid w:val="0"/>
        <w:spacing w:before="0"/>
        <w:ind w:firstLine="480"/>
        <w:rPr>
          <w:rFonts w:hint="eastAsia"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6"/>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bookmarkStart w:id="15" w:name="_Hlk101259339"/>
      <w:r>
        <w:rPr>
          <w:rFonts w:hint="eastAsia" w:ascii="仿宋" w:hAnsi="仿宋" w:eastAsia="仿宋" w:cs="仿宋"/>
          <w:snapToGrid w:val="0"/>
          <w:kern w:val="28"/>
          <w:sz w:val="24"/>
          <w:szCs w:val="20"/>
        </w:rPr>
        <w:t>联合协议</w:t>
      </w:r>
      <w:bookmarkEnd w:id="15"/>
      <w:r>
        <w:rPr>
          <w:rFonts w:hint="eastAsia" w:ascii="仿宋" w:hAnsi="仿宋" w:eastAsia="仿宋" w:cs="仿宋"/>
          <w:snapToGrid w:val="0"/>
          <w:kern w:val="28"/>
          <w:sz w:val="24"/>
          <w:szCs w:val="20"/>
        </w:rPr>
        <w:t>（如果有)；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11.2.3分包意向协议</w:t>
      </w:r>
      <w:r>
        <w:rPr>
          <w:rFonts w:hint="eastAsia" w:ascii="仿宋" w:hAnsi="仿宋" w:eastAsia="仿宋" w:cs="仿宋"/>
          <w:snapToGrid w:val="0"/>
          <w:kern w:val="28"/>
          <w:sz w:val="24"/>
          <w:szCs w:val="20"/>
          <w:highlight w:val="none"/>
        </w:rPr>
        <w:t>（如果有)</w:t>
      </w:r>
      <w:r>
        <w:rPr>
          <w:rFonts w:hint="eastAsia" w:ascii="仿宋" w:hAnsi="仿宋" w:eastAsia="仿宋" w:cs="仿宋"/>
          <w:sz w:val="24"/>
          <w:highlight w:val="none"/>
        </w:rPr>
        <w:t>；</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11.2.4符合性审查资料；</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3.2</w:t>
      </w:r>
      <w:r>
        <w:rPr>
          <w:rFonts w:hint="eastAsia" w:ascii="仿宋" w:hAnsi="仿宋" w:eastAsia="仿宋" w:cs="仿宋"/>
          <w:sz w:val="24"/>
        </w:rPr>
        <w:t>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32"/>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w:t>
      </w:r>
      <w:r>
        <w:rPr>
          <w:rFonts w:hint="eastAsia" w:ascii="仿宋" w:hAnsi="仿宋" w:eastAsia="仿宋" w:cs="仿宋"/>
          <w:color w:val="auto"/>
          <w:kern w:val="0"/>
          <w:sz w:val="24"/>
          <w:highlight w:val="none"/>
          <w:lang w:val="zh-CN"/>
        </w:rPr>
        <w:t>投标人进行电子投标应安装客户端软件—“</w:t>
      </w:r>
      <w:r>
        <w:rPr>
          <w:rFonts w:hint="eastAsia" w:ascii="仿宋" w:hAnsi="仿宋" w:eastAsia="仿宋" w:cs="仿宋"/>
          <w:color w:val="auto"/>
          <w:kern w:val="0"/>
          <w:sz w:val="24"/>
          <w:highlight w:val="none"/>
          <w:lang w:val="en-US" w:eastAsia="zh-CN"/>
        </w:rPr>
        <w:t>乐采云</w:t>
      </w:r>
      <w:r>
        <w:rPr>
          <w:rFonts w:hint="eastAsia" w:ascii="仿宋" w:hAnsi="仿宋" w:eastAsia="仿宋" w:cs="仿宋"/>
          <w:color w:val="auto"/>
          <w:kern w:val="0"/>
          <w:sz w:val="24"/>
          <w:highlight w:val="none"/>
          <w:lang w:val="zh-CN"/>
        </w:rPr>
        <w:t>电子交易客户端”，并按照招标文件和电子交易平台的要求编制并加密投标文件。</w:t>
      </w:r>
      <w:r>
        <w:rPr>
          <w:rFonts w:hint="eastAsia" w:ascii="仿宋" w:hAnsi="仿宋" w:eastAsia="仿宋" w:cs="仿宋"/>
          <w:kern w:val="0"/>
          <w:sz w:val="24"/>
          <w:lang w:val="zh-CN"/>
        </w:rPr>
        <w:t>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w:t>
      </w:r>
      <w:r>
        <w:rPr>
          <w:rFonts w:hint="eastAsia" w:ascii="仿宋" w:hAnsi="仿宋" w:eastAsia="仿宋" w:cs="仿宋"/>
          <w:kern w:val="0"/>
          <w:sz w:val="24"/>
          <w:highlight w:val="none"/>
          <w:lang w:val="zh-CN"/>
        </w:rPr>
        <w:t>使用“乐采云电子交易客户端”需要提前申领CA数字证书，申领流程请自行前往“浙江政府采购网-下载专区-电子交易客户端-CA驱动和申领流程”进行查阅。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32"/>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2"/>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w:t>
      </w:r>
      <w:r>
        <w:rPr>
          <w:rFonts w:hint="eastAsia" w:ascii="仿宋" w:hAnsi="仿宋" w:eastAsia="仿宋" w:cs="仿宋"/>
          <w:lang w:eastAsia="zh-CN"/>
        </w:rPr>
        <w:t>乐</w:t>
      </w:r>
      <w:r>
        <w:rPr>
          <w:rFonts w:hint="eastAsia" w:ascii="仿宋" w:hAnsi="仿宋" w:eastAsia="仿宋" w:cs="仿宋"/>
          <w:highlight w:val="none"/>
        </w:rPr>
        <w:t>采云平台”</w:t>
      </w:r>
      <w:r>
        <w:rPr>
          <w:rFonts w:hint="eastAsia" w:ascii="仿宋" w:hAnsi="仿宋" w:eastAsia="仿宋" w:cs="仿宋"/>
        </w:rPr>
        <w:t>的身份认证，确保在电子投标过程中能够对相关数据电文进行加密和使用电子签名。</w:t>
      </w:r>
    </w:p>
    <w:p>
      <w:pPr>
        <w:pStyle w:val="132"/>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32"/>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32"/>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6"/>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6"/>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w:t>
      </w:r>
      <w:r>
        <w:rPr>
          <w:rFonts w:hint="eastAsia" w:ascii="仿宋" w:hAnsi="仿宋" w:eastAsia="仿宋" w:cs="仿宋"/>
          <w:sz w:val="24"/>
          <w:szCs w:val="24"/>
          <w:lang w:eastAsia="zh-CN"/>
        </w:rPr>
        <w:t>电子邮件</w:t>
      </w:r>
      <w:r>
        <w:rPr>
          <w:rFonts w:hint="eastAsia" w:ascii="仿宋" w:hAnsi="仿宋" w:eastAsia="仿宋" w:cs="仿宋"/>
          <w:sz w:val="24"/>
          <w:szCs w:val="24"/>
        </w:rPr>
        <w:t>方式递交备份投标文件1份，</w:t>
      </w:r>
      <w:r>
        <w:rPr>
          <w:rFonts w:hint="eastAsia" w:ascii="仿宋" w:hAnsi="仿宋" w:eastAsia="仿宋" w:cs="仿宋"/>
          <w:b/>
          <w:sz w:val="24"/>
          <w:szCs w:val="24"/>
        </w:rPr>
        <w:t>但采购人、采购代理机构不强制或变相强制投标人提交备份投标文件。</w:t>
      </w:r>
    </w:p>
    <w:p>
      <w:pPr>
        <w:pStyle w:val="6"/>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w:t>
      </w:r>
      <w:r>
        <w:rPr>
          <w:rFonts w:hint="eastAsia" w:ascii="仿宋" w:hAnsi="仿宋" w:eastAsia="仿宋" w:cs="仿宋"/>
          <w:sz w:val="24"/>
          <w:szCs w:val="24"/>
          <w:highlight w:val="none"/>
        </w:rPr>
        <w:t>以介质存储的数据电文形式的备份投标文件：按</w:t>
      </w:r>
      <w:r>
        <w:rPr>
          <w:rFonts w:hint="eastAsia" w:ascii="仿宋" w:hAnsi="仿宋" w:eastAsia="仿宋" w:cs="仿宋"/>
          <w:sz w:val="24"/>
          <w:szCs w:val="24"/>
          <w:highlight w:val="none"/>
          <w:lang w:eastAsia="zh-CN"/>
        </w:rPr>
        <w:t>乐</w:t>
      </w:r>
      <w:r>
        <w:rPr>
          <w:rFonts w:hint="eastAsia" w:ascii="仿宋" w:hAnsi="仿宋" w:eastAsia="仿宋" w:cs="仿宋"/>
          <w:sz w:val="24"/>
          <w:szCs w:val="24"/>
          <w:highlight w:val="none"/>
        </w:rPr>
        <w:t>采云平台项目采购-电子招投标操作指南制作备份投标文件（后缀名为.bfbs），在投标截止时间前以电子邮件形式递交至(</w:t>
      </w:r>
      <w:r>
        <w:rPr>
          <w:rFonts w:hint="eastAsia" w:ascii="仿宋" w:hAnsi="仿宋" w:eastAsia="仿宋" w:cs="仿宋"/>
          <w:sz w:val="24"/>
          <w:szCs w:val="24"/>
          <w:highlight w:val="none"/>
        </w:rPr>
        <w:fldChar w:fldCharType="begin"/>
      </w:r>
      <w:r>
        <w:rPr>
          <w:rFonts w:hint="eastAsia" w:ascii="仿宋" w:hAnsi="仿宋" w:eastAsia="仿宋" w:cs="仿宋"/>
          <w:sz w:val="24"/>
          <w:szCs w:val="24"/>
          <w:highlight w:val="none"/>
        </w:rPr>
        <w:instrText xml:space="preserve"> HYPERLINK "mailto:2990430955@qq.com" </w:instrText>
      </w:r>
      <w:r>
        <w:rPr>
          <w:rFonts w:hint="eastAsia" w:ascii="仿宋" w:hAnsi="仿宋" w:eastAsia="仿宋" w:cs="仿宋"/>
          <w:sz w:val="24"/>
          <w:szCs w:val="24"/>
          <w:highlight w:val="none"/>
        </w:rPr>
        <w:fldChar w:fldCharType="separate"/>
      </w:r>
      <w:r>
        <w:rPr>
          <w:rFonts w:hint="eastAsia" w:ascii="仿宋" w:hAnsi="仿宋" w:eastAsia="仿宋" w:cs="仿宋"/>
          <w:sz w:val="24"/>
          <w:szCs w:val="24"/>
          <w:highlight w:val="none"/>
          <w:lang w:val="en-US" w:eastAsia="zh-CN"/>
        </w:rPr>
        <w:t>601546348</w:t>
      </w:r>
      <w:r>
        <w:rPr>
          <w:rFonts w:hint="eastAsia" w:ascii="仿宋" w:hAnsi="仿宋" w:eastAsia="仿宋" w:cs="仿宋"/>
          <w:sz w:val="24"/>
          <w:szCs w:val="24"/>
          <w:highlight w:val="none"/>
        </w:rPr>
        <w:t>@qq.com</w:t>
      </w:r>
      <w:r>
        <w:rPr>
          <w:rFonts w:hint="eastAsia" w:ascii="仿宋" w:hAnsi="仿宋" w:eastAsia="仿宋" w:cs="仿宋"/>
          <w:sz w:val="24"/>
          <w:szCs w:val="24"/>
          <w:highlight w:val="none"/>
        </w:rPr>
        <w:fldChar w:fldCharType="end"/>
      </w:r>
      <w:r>
        <w:rPr>
          <w:rFonts w:hint="eastAsia" w:ascii="仿宋" w:hAnsi="仿宋" w:eastAsia="仿宋" w:cs="仿宋"/>
          <w:sz w:val="24"/>
          <w:szCs w:val="24"/>
          <w:highlight w:val="none"/>
        </w:rPr>
        <w:t>)。</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6"/>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6"/>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 w:val="24"/>
          <w:szCs w:val="24"/>
          <w:lang w:val="en-US" w:eastAsia="zh-CN"/>
        </w:rPr>
        <w:t>4</w:t>
      </w:r>
      <w:r>
        <w:rPr>
          <w:rFonts w:hint="eastAsia" w:ascii="仿宋" w:hAnsi="仿宋" w:eastAsia="仿宋" w:cs="仿宋"/>
          <w:b/>
          <w:sz w:val="24"/>
          <w:szCs w:val="24"/>
        </w:rPr>
        <w:t>投标人仅提交备份投标文件，未在电子交易平台传输递交投标文件的，投标无效。</w:t>
      </w:r>
    </w:p>
    <w:p>
      <w:pPr>
        <w:pStyle w:val="132"/>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7"/>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4.2规定</w:t>
      </w:r>
      <w:r>
        <w:rPr>
          <w:rFonts w:hint="eastAsia" w:ascii="仿宋" w:hAnsi="仿宋" w:eastAsia="仿宋" w:cs="仿宋"/>
          <w:szCs w:val="21"/>
        </w:rPr>
        <w:t>的情形之一的，投标无效：</w:t>
      </w:r>
    </w:p>
    <w:p>
      <w:pPr>
        <w:pStyle w:val="132"/>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2"/>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32"/>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hint="eastAsia" w:ascii="仿宋" w:hAnsi="仿宋" w:eastAsia="仿宋" w:cs="仿宋"/>
          <w:b/>
          <w:sz w:val="32"/>
        </w:rPr>
      </w:pPr>
    </w:p>
    <w:p>
      <w:pPr>
        <w:pStyle w:val="132"/>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7"/>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7"/>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19.1</w:t>
      </w:r>
      <w:r>
        <w:rPr>
          <w:rFonts w:hint="eastAsia" w:ascii="仿宋" w:hAnsi="仿宋" w:eastAsia="仿宋" w:cs="仿宋"/>
          <w:sz w:val="24"/>
        </w:rPr>
        <w:t>采购人或采购代理机构依据法律法规和招标文件的规定，对投标人的资格进行审查。</w:t>
      </w:r>
    </w:p>
    <w:p>
      <w:pPr>
        <w:pStyle w:val="132"/>
        <w:spacing w:before="0"/>
        <w:ind w:firstLine="480"/>
        <w:rPr>
          <w:rFonts w:hint="eastAsia" w:ascii="仿宋" w:hAnsi="仿宋" w:eastAsia="仿宋" w:cs="仿宋"/>
        </w:rPr>
      </w:pPr>
      <w:r>
        <w:rPr>
          <w:rFonts w:hint="eastAsia" w:ascii="仿宋" w:hAnsi="仿宋" w:eastAsia="仿宋" w:cs="仿宋"/>
          <w:kern w:val="0"/>
          <w:szCs w:val="24"/>
        </w:rPr>
        <w:t>19.2投标人未按照招标文件要求提供与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2"/>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3对未通过资格审查的投标人，采购人或采购代理机构告知其未通过的原因。</w:t>
      </w:r>
    </w:p>
    <w:p>
      <w:pPr>
        <w:pStyle w:val="132"/>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4合格投标人不足3家的，不再评标。</w:t>
      </w:r>
    </w:p>
    <w:p>
      <w:pPr>
        <w:pStyle w:val="132"/>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3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20.1信用信息查询渠道及截止时间：采购代理机构将在资格审查时通过“信用中国”网站(www.creditchina.gov.cn)、中国政府采购网(www.ccgp.gov.cn)渠道查询投标人接受资格审查时的信用记录。</w:t>
      </w:r>
    </w:p>
    <w:p>
      <w:pPr>
        <w:pStyle w:val="13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20.3信用信息的使用规则：经查询列入失信被执行人名单、重大税收违法案件当事人名单、政府采购严重违法失信行为记录名单的投标人将被拒绝参与采购活动。</w:t>
      </w:r>
    </w:p>
    <w:p>
      <w:pPr>
        <w:pStyle w:val="132"/>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仿宋" w:hAnsi="仿宋" w:eastAsia="仿宋" w:cs="仿宋"/>
        </w:rPr>
        <w:t>。</w:t>
      </w:r>
    </w:p>
    <w:p>
      <w:pPr>
        <w:pStyle w:val="132"/>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6"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7"/>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32"/>
        <w:snapToGrid w:val="0"/>
        <w:spacing w:before="0"/>
        <w:ind w:firstLine="480"/>
        <w:rPr>
          <w:rFonts w:hint="eastAsia" w:ascii="仿宋" w:hAnsi="仿宋" w:eastAsia="仿宋" w:cs="仿宋"/>
          <w:b/>
          <w:szCs w:val="24"/>
        </w:rPr>
      </w:pPr>
      <w:r>
        <w:rPr>
          <w:rFonts w:hint="eastAsia" w:ascii="仿宋" w:hAnsi="仿宋" w:eastAsia="仿宋" w:cs="仿宋"/>
          <w:szCs w:val="24"/>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w:t>
      </w:r>
      <w:r>
        <w:rPr>
          <w:rFonts w:hint="eastAsia" w:ascii="仿宋" w:hAnsi="仿宋" w:eastAsia="仿宋" w:cs="仿宋"/>
          <w:sz w:val="24"/>
          <w:lang w:eastAsia="zh-CN"/>
        </w:rPr>
        <w:t>的</w:t>
      </w:r>
      <w:r>
        <w:rPr>
          <w:rFonts w:hint="eastAsia" w:ascii="仿宋" w:hAnsi="仿宋" w:eastAsia="仿宋" w:cs="仿宋"/>
          <w:sz w:val="24"/>
        </w:rPr>
        <w:t>名称、规格型号、数量、单价、服务要求，中标公告期限以及评审专家名单。</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7"/>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7"/>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2"/>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2"/>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25.4中标供应商拒绝与采购人签订合同的，采购人可以按照评审报告推荐的中标或者成交候选人名单排序，确定下一候选人为中标供应商，也可以重新开展采购活动。</w:t>
      </w:r>
    </w:p>
    <w:p>
      <w:pPr>
        <w:pStyle w:val="27"/>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sz w:val="24"/>
        </w:rPr>
        <w:t>履约保证金的数额不得超过采购合同金额的1%</w:t>
      </w:r>
      <w:r>
        <w:rPr>
          <w:rFonts w:hint="eastAsia" w:ascii="仿宋" w:hAnsi="仿宋" w:eastAsia="仿宋" w:cs="仿宋"/>
          <w:sz w:val="24"/>
          <w:lang w:eastAsia="zh-CN"/>
        </w:rPr>
        <w:t>。</w:t>
      </w:r>
      <w:r>
        <w:rPr>
          <w:rFonts w:hint="eastAsia" w:ascii="仿宋" w:hAnsi="仿宋" w:eastAsia="仿宋" w:cs="仿宋"/>
          <w:sz w:val="24"/>
        </w:rPr>
        <w:t>鼓励根据项目特点、供应商诚信等因素免收履约保证金或降低缴纳比例。项目验收结束后应及时退还履约保证金，延迟退还的，应当按照合同约定和法律规定承担相应的赔偿责任。</w:t>
      </w:r>
    </w:p>
    <w:p>
      <w:pPr>
        <w:pStyle w:val="2"/>
        <w:rPr>
          <w:rFonts w:hint="eastAsia" w:ascii="仿宋" w:hAnsi="仿宋" w:eastAsia="仿宋" w:cs="仿宋"/>
        </w:rPr>
      </w:pPr>
      <w:r>
        <w:rPr>
          <w:rFonts w:hint="eastAsia" w:ascii="仿宋" w:hAnsi="仿宋" w:eastAsia="仿宋" w:cs="仿宋"/>
          <w:sz w:val="24"/>
          <w:lang w:val="en-US"/>
        </w:rPr>
        <w:t>27.预付款</w:t>
      </w:r>
    </w:p>
    <w:p>
      <w:pPr>
        <w:adjustRightInd/>
        <w:spacing w:line="360" w:lineRule="auto"/>
        <w:ind w:firstLine="480" w:firstLineChars="200"/>
        <w:rPr>
          <w:rFonts w:hint="eastAsia" w:ascii="仿宋" w:hAnsi="仿宋" w:eastAsia="仿宋" w:cs="仿宋"/>
        </w:rPr>
      </w:pPr>
      <w:r>
        <w:rPr>
          <w:rFonts w:hint="eastAsia" w:ascii="仿宋" w:hAnsi="仿宋" w:eastAsia="仿宋" w:cs="仿宋"/>
          <w:sz w:val="24"/>
        </w:rPr>
        <w:t>采购单位应当在采购合同中约定预付款，对中小企业合同预付款比例原则上不低于合同金额的</w:t>
      </w:r>
      <w:r>
        <w:rPr>
          <w:rFonts w:hint="eastAsia" w:ascii="仿宋" w:hAnsi="仿宋" w:eastAsia="仿宋" w:cs="仿宋"/>
          <w:sz w:val="24"/>
          <w:lang w:val="en-US" w:eastAsia="zh-CN"/>
        </w:rPr>
        <w:t>40</w:t>
      </w:r>
      <w:r>
        <w:rPr>
          <w:rFonts w:hint="eastAsia" w:ascii="仿宋" w:hAnsi="仿宋" w:eastAsia="仿宋" w:cs="仿宋"/>
          <w:sz w:val="24"/>
        </w:rPr>
        <w:t>％，不高于合同金额的70%；项目分年安排预算的，每年预付款比例不低于项目年度计划支付资金额的50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采购预付款应在合同生效以及具备实施条件后5个工作日内支付。</w:t>
      </w:r>
    </w:p>
    <w:p>
      <w:pPr>
        <w:rPr>
          <w:rFonts w:hint="eastAsia" w:ascii="仿宋" w:hAnsi="仿宋" w:eastAsia="仿宋" w:cs="仿宋"/>
        </w:rPr>
      </w:pP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32"/>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bCs/>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hint="eastAsia" w:ascii="仿宋" w:hAnsi="仿宋" w:eastAsia="仿宋" w:cs="仿宋"/>
        </w:rPr>
      </w:pPr>
      <w:r>
        <w:rPr>
          <w:rFonts w:hint="eastAsia" w:ascii="仿宋" w:hAnsi="仿宋" w:eastAsia="仿宋" w:cs="仿宋"/>
        </w:rPr>
        <w:t xml:space="preserve">28.1电子交易平台发生故障而无法登录访问的； </w:t>
      </w:r>
    </w:p>
    <w:p>
      <w:pPr>
        <w:pStyle w:val="132"/>
        <w:snapToGrid w:val="0"/>
        <w:spacing w:before="0"/>
        <w:ind w:firstLine="480"/>
        <w:rPr>
          <w:rFonts w:hint="eastAsia" w:ascii="仿宋" w:hAnsi="仿宋" w:eastAsia="仿宋" w:cs="仿宋"/>
        </w:rPr>
      </w:pPr>
      <w:r>
        <w:rPr>
          <w:rFonts w:hint="eastAsia" w:ascii="仿宋" w:hAnsi="仿宋" w:eastAsia="仿宋" w:cs="仿宋"/>
        </w:rPr>
        <w:t>28.2电子交易平台应用或数据库出现错误，不能进行正常操作的；</w:t>
      </w:r>
    </w:p>
    <w:p>
      <w:pPr>
        <w:pStyle w:val="132"/>
        <w:snapToGrid w:val="0"/>
        <w:spacing w:before="0"/>
        <w:ind w:firstLine="480"/>
        <w:rPr>
          <w:rFonts w:hint="eastAsia" w:ascii="仿宋" w:hAnsi="仿宋" w:eastAsia="仿宋" w:cs="仿宋"/>
        </w:rPr>
      </w:pPr>
      <w:r>
        <w:rPr>
          <w:rFonts w:hint="eastAsia" w:ascii="仿宋" w:hAnsi="仿宋" w:eastAsia="仿宋" w:cs="仿宋"/>
        </w:rPr>
        <w:t>28.3电子交易平台发现严重安全漏洞，有潜在泄密危险的；</w:t>
      </w:r>
    </w:p>
    <w:p>
      <w:pPr>
        <w:pStyle w:val="132"/>
        <w:snapToGrid w:val="0"/>
        <w:spacing w:before="0"/>
        <w:ind w:firstLine="480"/>
        <w:rPr>
          <w:rFonts w:hint="eastAsia" w:ascii="仿宋" w:hAnsi="仿宋" w:eastAsia="仿宋" w:cs="仿宋"/>
        </w:rPr>
      </w:pPr>
      <w:r>
        <w:rPr>
          <w:rFonts w:hint="eastAsia" w:ascii="仿宋" w:hAnsi="仿宋" w:eastAsia="仿宋" w:cs="仿宋"/>
        </w:rPr>
        <w:t xml:space="preserve">28.4病毒发作导致不能进行正常操作的； </w:t>
      </w:r>
    </w:p>
    <w:p>
      <w:pPr>
        <w:pStyle w:val="132"/>
        <w:snapToGrid w:val="0"/>
        <w:spacing w:before="0"/>
        <w:ind w:firstLine="480"/>
        <w:rPr>
          <w:rFonts w:hint="eastAsia" w:ascii="仿宋" w:hAnsi="仿宋" w:eastAsia="仿宋" w:cs="仿宋"/>
        </w:rPr>
      </w:pPr>
      <w:r>
        <w:rPr>
          <w:rFonts w:hint="eastAsia" w:ascii="仿宋" w:hAnsi="仿宋" w:eastAsia="仿宋" w:cs="仿宋"/>
        </w:rPr>
        <w:t>28.5其他无法保证电子交易的公平、公正和安全的情况。</w:t>
      </w:r>
    </w:p>
    <w:p>
      <w:pPr>
        <w:pStyle w:val="132"/>
        <w:snapToGrid w:val="0"/>
        <w:spacing w:before="0"/>
        <w:ind w:firstLine="0" w:firstLineChars="0"/>
        <w:rPr>
          <w:rFonts w:hint="eastAsia"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w:t>
      </w:r>
    </w:p>
    <w:bookmarkEnd w:id="16"/>
    <w:p>
      <w:pPr>
        <w:tabs>
          <w:tab w:val="left" w:pos="0"/>
        </w:tabs>
        <w:spacing w:line="360" w:lineRule="auto"/>
        <w:ind w:firstLine="480"/>
        <w:rPr>
          <w:rFonts w:hint="eastAsia" w:ascii="仿宋" w:hAnsi="仿宋" w:eastAsia="仿宋" w:cs="仿宋"/>
          <w:kern w:val="0"/>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7" w:name="_Hlt74714665"/>
      <w:bookmarkEnd w:id="17"/>
      <w:bookmarkStart w:id="18" w:name="_Hlt74730295"/>
      <w:bookmarkEnd w:id="18"/>
      <w:bookmarkStart w:id="19" w:name="_Hlt68057669"/>
      <w:bookmarkEnd w:id="19"/>
      <w:bookmarkStart w:id="20" w:name="_Hlt68072998"/>
      <w:bookmarkEnd w:id="20"/>
      <w:bookmarkStart w:id="21" w:name="_Hlt75236101"/>
      <w:bookmarkEnd w:id="21"/>
      <w:bookmarkStart w:id="22" w:name="_Hlt75236011"/>
      <w:bookmarkEnd w:id="22"/>
      <w:bookmarkStart w:id="23" w:name="_Hlt75236290"/>
      <w:bookmarkEnd w:id="23"/>
      <w:bookmarkStart w:id="24" w:name="_Hlt74707468"/>
      <w:bookmarkEnd w:id="24"/>
      <w:bookmarkStart w:id="25" w:name="_Hlt68073093"/>
      <w:bookmarkEnd w:id="25"/>
      <w:bookmarkStart w:id="26" w:name="_Hlt68072990"/>
      <w:bookmarkEnd w:id="26"/>
      <w:bookmarkStart w:id="27" w:name="_Hlt68403820"/>
      <w:bookmarkEnd w:id="27"/>
      <w:bookmarkStart w:id="28" w:name="_Hlt74729768"/>
      <w:bookmarkEnd w:id="28"/>
    </w:p>
    <w:bookmarkEnd w:id="11"/>
    <w:bookmarkEnd w:id="12"/>
    <w:p>
      <w:pPr>
        <w:numPr>
          <w:ilvl w:val="0"/>
          <w:numId w:val="3"/>
        </w:numPr>
        <w:spacing w:line="360" w:lineRule="auto"/>
        <w:jc w:val="center"/>
        <w:outlineLvl w:val="0"/>
        <w:rPr>
          <w:rFonts w:hint="eastAsia" w:ascii="仿宋" w:hAnsi="仿宋" w:eastAsia="仿宋" w:cs="仿宋"/>
          <w:b/>
          <w:sz w:val="36"/>
          <w:szCs w:val="36"/>
        </w:rPr>
      </w:pPr>
      <w:bookmarkStart w:id="29" w:name="第四部分"/>
      <w:r>
        <w:rPr>
          <w:rFonts w:hint="eastAsia" w:ascii="仿宋" w:hAnsi="仿宋" w:eastAsia="仿宋" w:cs="仿宋"/>
          <w:b/>
          <w:sz w:val="36"/>
          <w:szCs w:val="36"/>
        </w:rPr>
        <w:t xml:space="preserve">  采购需求</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一、采购清单</w:t>
      </w:r>
    </w:p>
    <w:tbl>
      <w:tblPr>
        <w:tblStyle w:val="62"/>
        <w:tblW w:w="10082" w:type="dxa"/>
        <w:jc w:val="center"/>
        <w:tblLayout w:type="fixed"/>
        <w:tblCellMar>
          <w:top w:w="0" w:type="dxa"/>
          <w:left w:w="108" w:type="dxa"/>
          <w:bottom w:w="0" w:type="dxa"/>
          <w:right w:w="108" w:type="dxa"/>
        </w:tblCellMar>
      </w:tblPr>
      <w:tblGrid>
        <w:gridCol w:w="1502"/>
        <w:gridCol w:w="3607"/>
        <w:gridCol w:w="3608"/>
        <w:gridCol w:w="1365"/>
      </w:tblGrid>
      <w:tr>
        <w:tblPrEx>
          <w:tblCellMar>
            <w:top w:w="0" w:type="dxa"/>
            <w:left w:w="108" w:type="dxa"/>
            <w:bottom w:w="0" w:type="dxa"/>
            <w:right w:w="108" w:type="dxa"/>
          </w:tblCellMar>
        </w:tblPrEx>
        <w:trPr>
          <w:trHeight w:val="720" w:hRule="atLeast"/>
          <w:jc w:val="center"/>
        </w:trPr>
        <w:tc>
          <w:tcPr>
            <w:tcW w:w="150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名称</w:t>
            </w:r>
          </w:p>
        </w:tc>
        <w:tc>
          <w:tcPr>
            <w:tcW w:w="7215" w:type="dxa"/>
            <w:gridSpan w:val="2"/>
            <w:tcBorders>
              <w:top w:val="single" w:color="auto" w:sz="4" w:space="0"/>
              <w:left w:val="nil"/>
              <w:bottom w:val="single" w:color="auto" w:sz="4" w:space="0"/>
              <w:right w:val="single" w:color="auto" w:sz="4" w:space="0"/>
            </w:tcBorders>
            <w:noWrap/>
            <w:vAlign w:val="center"/>
          </w:tcPr>
          <w:p>
            <w:pPr>
              <w:snapToGrid w:val="0"/>
              <w:spacing w:line="360" w:lineRule="exact"/>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主要</w:t>
            </w:r>
            <w:r>
              <w:rPr>
                <w:rFonts w:hint="eastAsia" w:ascii="仿宋" w:hAnsi="仿宋" w:eastAsia="仿宋" w:cs="仿宋"/>
                <w:b/>
                <w:bCs/>
                <w:color w:val="auto"/>
                <w:sz w:val="24"/>
                <w:szCs w:val="24"/>
                <w:highlight w:val="none"/>
                <w:lang w:val="en-US" w:eastAsia="zh-CN"/>
              </w:rPr>
              <w:t>参数</w:t>
            </w:r>
          </w:p>
        </w:tc>
        <w:tc>
          <w:tcPr>
            <w:tcW w:w="1365" w:type="dxa"/>
            <w:tcBorders>
              <w:top w:val="single" w:color="auto" w:sz="4" w:space="0"/>
              <w:left w:val="nil"/>
              <w:bottom w:val="single" w:color="auto" w:sz="4" w:space="0"/>
              <w:right w:val="single" w:color="auto" w:sz="4" w:space="0"/>
            </w:tcBorders>
            <w:noWrap/>
            <w:vAlign w:val="center"/>
          </w:tcPr>
          <w:p>
            <w:pPr>
              <w:snapToGrid w:val="0"/>
              <w:spacing w:line="3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数量</w:t>
            </w:r>
          </w:p>
        </w:tc>
      </w:tr>
      <w:tr>
        <w:tblPrEx>
          <w:tblCellMar>
            <w:top w:w="0" w:type="dxa"/>
            <w:left w:w="108" w:type="dxa"/>
            <w:bottom w:w="0" w:type="dxa"/>
            <w:right w:w="108" w:type="dxa"/>
          </w:tblCellMar>
        </w:tblPrEx>
        <w:trPr>
          <w:trHeight w:val="118"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lang w:val="en-US" w:eastAsia="zh-CN"/>
              </w:rPr>
              <w:t>17.8m巡护船</w:t>
            </w: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最大船长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18.51m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总长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17.80m</w:t>
            </w:r>
          </w:p>
        </w:tc>
        <w:tc>
          <w:tcPr>
            <w:tcW w:w="1365" w:type="dxa"/>
            <w:vMerge w:val="restart"/>
            <w:tcBorders>
              <w:top w:val="single" w:color="auto" w:sz="4" w:space="0"/>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r>
              <w:rPr>
                <w:rFonts w:hint="eastAsia" w:ascii="仿宋" w:hAnsi="仿宋" w:eastAsia="仿宋" w:cs="仿宋"/>
                <w:color w:val="auto"/>
                <w:kern w:val="0"/>
                <w:sz w:val="24"/>
                <w:szCs w:val="24"/>
                <w:highlight w:val="none"/>
              </w:rPr>
              <w:t>1艘</w:t>
            </w: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船长（水线长）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16.84m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船宽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4.09m</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总宽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4.19m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总高（至桅杆顶）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4.75m</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型深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1.50m</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设计吃水</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0.60m</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11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满载排水量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18.42t</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设计航速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km/h</w:t>
            </w:r>
          </w:p>
        </w:tc>
        <w:tc>
          <w:tcPr>
            <w:tcW w:w="1365" w:type="dxa"/>
            <w:vMerge w:val="continue"/>
            <w:tcBorders>
              <w:left w:val="nil"/>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300"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c>
          <w:tcPr>
            <w:tcW w:w="3607"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航区</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 内河 B 级</w:t>
            </w:r>
          </w:p>
        </w:tc>
        <w:tc>
          <w:tcPr>
            <w:tcW w:w="3608" w:type="dxa"/>
            <w:tcBorders>
              <w:top w:val="single" w:color="auto" w:sz="4" w:space="0"/>
              <w:left w:val="nil"/>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1365" w:type="dxa"/>
            <w:vMerge w:val="continue"/>
            <w:tcBorders>
              <w:left w:val="nil"/>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b/>
                <w:bCs/>
                <w:color w:val="auto"/>
                <w:sz w:val="24"/>
                <w:szCs w:val="24"/>
                <w:highlight w:val="none"/>
              </w:rPr>
            </w:pPr>
          </w:p>
        </w:tc>
      </w:tr>
      <w:tr>
        <w:tblPrEx>
          <w:tblCellMar>
            <w:top w:w="0" w:type="dxa"/>
            <w:left w:w="108" w:type="dxa"/>
            <w:bottom w:w="0" w:type="dxa"/>
            <w:right w:w="108" w:type="dxa"/>
          </w:tblCellMar>
        </w:tblPrEx>
        <w:trPr>
          <w:trHeight w:val="476"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highlight w:val="none"/>
                <w:lang w:val="en-US" w:eastAsia="zh-CN"/>
              </w:rPr>
              <w:t>10.56m巡护艇</w:t>
            </w: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最大船长</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10.63m         </w:t>
            </w:r>
            <w:r>
              <w:rPr>
                <w:rFonts w:hint="eastAsia" w:ascii="仿宋" w:hAnsi="仿宋" w:eastAsia="仿宋" w:cs="仿宋"/>
                <w:color w:val="auto"/>
                <w:sz w:val="24"/>
                <w:szCs w:val="24"/>
                <w:highlight w:val="none"/>
                <w:lang w:val="en-US" w:eastAsia="zh-CN"/>
              </w:rPr>
              <w:t xml:space="preserve">            </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10.56m</w:t>
            </w:r>
          </w:p>
        </w:tc>
        <w:tc>
          <w:tcPr>
            <w:tcW w:w="1365" w:type="dxa"/>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1艘</w:t>
            </w: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船长（水线长）</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9.70m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船宽</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2.90m</w:t>
            </w:r>
            <w:r>
              <w:rPr>
                <w:rFonts w:hint="eastAsia" w:ascii="仿宋" w:hAnsi="仿宋" w:eastAsia="仿宋" w:cs="仿宋"/>
                <w:color w:val="auto"/>
                <w:sz w:val="24"/>
                <w:szCs w:val="24"/>
                <w:highlight w:val="none"/>
                <w:lang w:val="en-US" w:eastAsia="zh-CN"/>
              </w:rPr>
              <w:t xml:space="preserve"> </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总宽</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2.97m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总高（至桅杆顶）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4.23m</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型深</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1.25m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设计吃水</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0.50m</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满载排水量</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6.91t</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设计航速</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65km/h</w:t>
            </w:r>
          </w:p>
        </w:tc>
        <w:tc>
          <w:tcPr>
            <w:tcW w:w="1365" w:type="dxa"/>
            <w:vMerge w:val="continue"/>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377"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航区</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内河 B 级</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p>
        </w:tc>
        <w:tc>
          <w:tcPr>
            <w:tcW w:w="1365" w:type="dxa"/>
            <w:vMerge w:val="continue"/>
            <w:tcBorders>
              <w:left w:val="single" w:color="auto" w:sz="4" w:space="0"/>
              <w:bottom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p>
        </w:tc>
      </w:tr>
      <w:tr>
        <w:tblPrEx>
          <w:tblCellMar>
            <w:top w:w="0" w:type="dxa"/>
            <w:left w:w="108" w:type="dxa"/>
            <w:bottom w:w="0" w:type="dxa"/>
            <w:right w:w="108" w:type="dxa"/>
          </w:tblCellMar>
        </w:tblPrEx>
        <w:trPr>
          <w:trHeight w:val="68" w:hRule="atLeast"/>
          <w:jc w:val="center"/>
        </w:trPr>
        <w:tc>
          <w:tcPr>
            <w:tcW w:w="1502" w:type="dxa"/>
            <w:vMerge w:val="restart"/>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7.68m巡护艇</w:t>
            </w: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最大船长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8.52m</w:t>
            </w:r>
          </w:p>
        </w:tc>
        <w:tc>
          <w:tcPr>
            <w:tcW w:w="3608"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en-US" w:eastAsia="zh-CN"/>
              </w:rPr>
              <w:t>68</w:t>
            </w:r>
            <w:r>
              <w:rPr>
                <w:rFonts w:hint="eastAsia" w:ascii="仿宋" w:hAnsi="仿宋" w:eastAsia="仿宋" w:cs="仿宋"/>
                <w:color w:val="auto"/>
                <w:sz w:val="24"/>
                <w:szCs w:val="24"/>
                <w:highlight w:val="none"/>
              </w:rPr>
              <w:t>m</w:t>
            </w:r>
          </w:p>
        </w:tc>
        <w:tc>
          <w:tcPr>
            <w:tcW w:w="1365" w:type="dxa"/>
            <w:vMerge w:val="restart"/>
            <w:tcBorders>
              <w:left w:val="single" w:color="auto" w:sz="4" w:space="0"/>
              <w:right w:val="single" w:color="auto" w:sz="4" w:space="0"/>
            </w:tcBorders>
            <w:noWrap/>
            <w:vAlign w:val="center"/>
          </w:tcPr>
          <w:p>
            <w:pPr>
              <w:bidi w:val="0"/>
              <w:spacing w:line="360" w:lineRule="auto"/>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7艘</w:t>
            </w: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船长（水线长）</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7.32m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船宽</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2.20m</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总宽</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2.26m</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总高（至桅杆顶）</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3.35m</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型深</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1.00m</w:t>
            </w:r>
          </w:p>
        </w:tc>
        <w:tc>
          <w:tcPr>
            <w:tcW w:w="3608" w:type="dxa"/>
            <w:tcBorders>
              <w:top w:val="single" w:color="auto" w:sz="4" w:space="0"/>
              <w:left w:val="single" w:color="auto" w:sz="4" w:space="0"/>
              <w:bottom w:val="single" w:color="auto" w:sz="4" w:space="0"/>
              <w:right w:val="single" w:color="auto" w:sz="4" w:space="0"/>
            </w:tcBorders>
            <w:noWrap/>
            <w:vAlign w:val="center"/>
          </w:tcPr>
          <w:p>
            <w:pPr>
              <w:bidi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设计吃水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0.42m</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满载排水量</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3.61t</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最大设计航速</w:t>
            </w:r>
            <w:r>
              <w:rPr>
                <w:rFonts w:hint="eastAsia" w:ascii="仿宋" w:hAnsi="仿宋" w:eastAsia="仿宋" w:cs="仿宋"/>
                <w:color w:val="auto"/>
                <w:sz w:val="24"/>
                <w:szCs w:val="24"/>
                <w:highlight w:val="none"/>
                <w:lang w:val="en-US" w:eastAsia="zh-CN"/>
              </w:rPr>
              <w:t xml:space="preserve"> : 55</w:t>
            </w:r>
            <w:r>
              <w:rPr>
                <w:rFonts w:hint="eastAsia" w:ascii="仿宋" w:hAnsi="仿宋" w:eastAsia="仿宋" w:cs="仿宋"/>
                <w:color w:val="auto"/>
                <w:sz w:val="24"/>
                <w:szCs w:val="24"/>
                <w:highlight w:val="none"/>
              </w:rPr>
              <w:t>km/h</w:t>
            </w:r>
          </w:p>
        </w:tc>
        <w:tc>
          <w:tcPr>
            <w:tcW w:w="1365" w:type="dxa"/>
            <w:vMerge w:val="continue"/>
            <w:tcBorders>
              <w:left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8" w:hRule="atLeast"/>
          <w:jc w:val="center"/>
        </w:trPr>
        <w:tc>
          <w:tcPr>
            <w:tcW w:w="1502" w:type="dxa"/>
            <w:vMerge w:val="continue"/>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360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航区</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内河 B 级</w:t>
            </w:r>
          </w:p>
        </w:tc>
        <w:tc>
          <w:tcPr>
            <w:tcW w:w="360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both"/>
              <w:rPr>
                <w:rFonts w:hint="eastAsia" w:ascii="仿宋" w:hAnsi="仿宋" w:eastAsia="仿宋" w:cs="仿宋"/>
                <w:color w:val="auto"/>
                <w:sz w:val="24"/>
                <w:szCs w:val="24"/>
                <w:highlight w:val="none"/>
              </w:rPr>
            </w:pPr>
          </w:p>
        </w:tc>
        <w:tc>
          <w:tcPr>
            <w:tcW w:w="1365" w:type="dxa"/>
            <w:vMerge w:val="continue"/>
            <w:tcBorders>
              <w:left w:val="single" w:color="auto" w:sz="4" w:space="0"/>
              <w:bottom w:val="single" w:color="auto" w:sz="4" w:space="0"/>
              <w:right w:val="single" w:color="auto" w:sz="4" w:space="0"/>
            </w:tcBorders>
            <w:noWrap/>
            <w:vAlign w:val="center"/>
          </w:tcPr>
          <w:p>
            <w:pPr>
              <w:snapToGrid w:val="0"/>
              <w:spacing w:line="360" w:lineRule="auto"/>
              <w:jc w:val="center"/>
              <w:rPr>
                <w:rFonts w:hint="eastAsia" w:ascii="仿宋" w:hAnsi="仿宋" w:eastAsia="仿宋" w:cs="仿宋"/>
                <w:color w:val="auto"/>
                <w:sz w:val="24"/>
                <w:szCs w:val="24"/>
                <w:highlight w:val="none"/>
              </w:rPr>
            </w:pPr>
          </w:p>
        </w:tc>
      </w:tr>
    </w:tbl>
    <w:p>
      <w:pPr>
        <w:spacing w:line="360" w:lineRule="auto"/>
        <w:ind w:left="-180"/>
        <w:jc w:val="left"/>
        <w:outlineLvl w:val="2"/>
        <w:rPr>
          <w:rFonts w:hint="eastAsia" w:ascii="仿宋" w:hAnsi="仿宋" w:eastAsia="仿宋" w:cs="仿宋"/>
          <w:b/>
          <w:bCs/>
          <w:color w:val="auto"/>
          <w:kern w:val="0"/>
          <w:sz w:val="24"/>
          <w:szCs w:val="24"/>
          <w:highlight w:val="none"/>
          <w:lang w:val="en-US" w:eastAsia="zh-CN"/>
        </w:rPr>
      </w:pP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二、技术要求及参数</w:t>
      </w:r>
    </w:p>
    <w:p>
      <w:pPr>
        <w:rPr>
          <w:rStyle w:val="355"/>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（一）17.8m巡护船</w:t>
      </w:r>
      <w:r>
        <w:rPr>
          <w:rFonts w:hint="eastAsia" w:ascii="仿宋" w:hAnsi="仿宋" w:eastAsia="仿宋" w:cs="仿宋"/>
          <w:b/>
          <w:bCs/>
          <w:color w:val="auto"/>
          <w:sz w:val="24"/>
          <w:szCs w:val="24"/>
          <w:highlight w:val="none"/>
        </w:rPr>
        <w:t>技术需求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1、概述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1 船型、航区及用途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本船为单底、单甲板，单机单桨，舷内外柴油机动力驱动的尖舭玻璃钢船舶，船体及上层建筑均采用玻璃纤维增强塑料制造。</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本船限制在水流速度小于等于 3.0m/s， 蒲氏风级 5 级以下及具有设置岸上生活污水接收设施的水域内航行。</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设计准则</w:t>
      </w:r>
    </w:p>
    <w:p>
      <w:pPr>
        <w:bidi w:val="0"/>
        <w:spacing w:line="360" w:lineRule="auto"/>
        <w:ind w:firstLine="480" w:firstLineChars="200"/>
        <w:rPr>
          <w:rStyle w:val="355"/>
          <w:rFonts w:hint="eastAsia" w:ascii="仿宋" w:hAnsi="仿宋" w:eastAsia="仿宋" w:cs="仿宋"/>
          <w:color w:val="auto"/>
          <w:sz w:val="36"/>
          <w:szCs w:val="36"/>
          <w:highlight w:val="none"/>
        </w:rPr>
      </w:pPr>
      <w:r>
        <w:rPr>
          <w:rFonts w:hint="eastAsia" w:ascii="仿宋" w:hAnsi="仿宋" w:eastAsia="仿宋" w:cs="仿宋"/>
          <w:color w:val="auto"/>
          <w:sz w:val="24"/>
          <w:szCs w:val="24"/>
          <w:highlight w:val="none"/>
        </w:rPr>
        <w:t>本船设计准则为中华人民共和国海事局（MSA）《内河小型船舶检验技术规则》（2016） 及2019年修改通报；中国船级社（CCS）《内河小型船舶建造规范》(2022)；中华人民共和国海事局（MSA）《吨位丈量规则》（2022）</w:t>
      </w:r>
      <w:r>
        <w:rPr>
          <w:rFonts w:hint="eastAsia" w:ascii="仿宋" w:hAnsi="仿宋" w:eastAsia="仿宋" w:cs="仿宋"/>
          <w:color w:val="auto"/>
          <w:sz w:val="24"/>
          <w:szCs w:val="24"/>
          <w:highlight w:val="none"/>
          <w:lang w:eastAsia="zh-CN"/>
        </w:rPr>
        <w:t>。</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定员</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本船额定乘客 </w:t>
      </w: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 xml:space="preserve"> 人，船员</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稳性及不沉性</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本船完整稳性满足中华人民共和国海事局（MSA）《内河小型船舶检验技术规则》 （2016）及 2019 年修改通报对内河 B 级航行船舶的要求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参照中华人民共和国海事局 （MSA）《内河船舶法定检验技术规则》（2019）对客船的要求进行校核</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本船破损稳性满足中华人民共和国海事局（MSA）《内河小型船舶检验技术规则》 （2016）及 2019 年修改通报对内河 B 级航行船舶的要求(参照中华人民共和国海事局 （MSA）《内河船舶法定检验技术规则》（2019）对客船的要求进行校核)。</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干舷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本船干舷满足中华人民共和国海事局（MSA）《内河小型船舶检验技术规则》（2016）及 2019 年修改通报对内河 B 级航行船舶的要求。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吨位</w:t>
      </w:r>
    </w:p>
    <w:p>
      <w:pPr>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本船吨位按中华人民共和国海事局（MSA）《吨位丈量规则》（2022）的要求计算</w:t>
      </w:r>
      <w:r>
        <w:rPr>
          <w:rFonts w:hint="eastAsia" w:ascii="仿宋" w:hAnsi="仿宋" w:eastAsia="仿宋" w:cs="仿宋"/>
          <w:color w:val="auto"/>
          <w:sz w:val="24"/>
          <w:szCs w:val="24"/>
          <w:highlight w:val="none"/>
          <w:lang w:eastAsia="zh-CN"/>
        </w:rPr>
        <w:t>。</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 续航力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本船机舱设 1 只容积</w:t>
      </w:r>
      <w:r>
        <w:rPr>
          <w:rFonts w:hint="eastAsia" w:ascii="仿宋" w:hAnsi="仿宋" w:eastAsia="仿宋" w:cs="仿宋"/>
          <w:color w:val="auto"/>
          <w:sz w:val="24"/>
          <w:szCs w:val="24"/>
          <w:highlight w:val="none"/>
          <w:lang w:val="en-US" w:eastAsia="zh-CN"/>
        </w:rPr>
        <w:t xml:space="preserve">450L 燃油箱，满足设计续航力 6h。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主机及设计航速</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本船主机选用柴油主机</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台，单机额定功率/转速：130</w:t>
      </w:r>
      <w:r>
        <w:rPr>
          <w:rFonts w:hint="eastAsia" w:ascii="仿宋" w:hAnsi="仿宋" w:eastAsia="仿宋" w:cs="仿宋"/>
          <w:color w:val="auto"/>
          <w:sz w:val="24"/>
          <w:szCs w:val="24"/>
          <w:highlight w:val="none"/>
          <w:lang w:val="en-US" w:eastAsia="zh-CN"/>
        </w:rPr>
        <w:t>HP</w:t>
      </w:r>
      <w:r>
        <w:rPr>
          <w:rFonts w:hint="eastAsia" w:ascii="仿宋" w:hAnsi="仿宋" w:eastAsia="仿宋" w:cs="仿宋"/>
          <w:color w:val="auto"/>
          <w:sz w:val="24"/>
          <w:szCs w:val="24"/>
          <w:highlight w:val="none"/>
        </w:rPr>
        <w:t xml:space="preserve">（96kW）/4000rpm，配艉机,减速比：2.2：1。在其额定功率下，本船最高航速可达 </w:t>
      </w:r>
      <w:r>
        <w:rPr>
          <w:rFonts w:hint="eastAsia" w:ascii="仿宋" w:hAnsi="仿宋" w:eastAsia="仿宋" w:cs="仿宋"/>
          <w:color w:val="auto"/>
          <w:sz w:val="24"/>
          <w:szCs w:val="24"/>
          <w:highlight w:val="none"/>
          <w:lang w:val="en-US" w:eastAsia="zh-CN"/>
        </w:rPr>
        <w:t>18</w:t>
      </w:r>
      <w:r>
        <w:rPr>
          <w:rFonts w:hint="eastAsia" w:ascii="仿宋" w:hAnsi="仿宋" w:eastAsia="仿宋" w:cs="仿宋"/>
          <w:color w:val="auto"/>
          <w:sz w:val="24"/>
          <w:szCs w:val="24"/>
          <w:highlight w:val="none"/>
        </w:rPr>
        <w:t>km/h。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 航行限制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应通过回转试验确定允许的主机转速、航速及舵角。本船建议满舵回转时，主机转速不超过 1500rpm。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 、总布置</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本船主甲板下共设 2 道水密横舱壁，分</w:t>
      </w:r>
      <w:r>
        <w:rPr>
          <w:rFonts w:hint="eastAsia" w:ascii="仿宋" w:hAnsi="仿宋" w:eastAsia="仿宋" w:cs="仿宋"/>
          <w:color w:val="auto"/>
          <w:sz w:val="24"/>
          <w:szCs w:val="24"/>
          <w:highlight w:val="none"/>
          <w:lang w:eastAsia="zh-CN"/>
        </w:rPr>
        <w:t>割</w:t>
      </w:r>
      <w:r>
        <w:rPr>
          <w:rFonts w:hint="eastAsia" w:ascii="仿宋" w:hAnsi="仿宋" w:eastAsia="仿宋" w:cs="仿宋"/>
          <w:color w:val="auto"/>
          <w:sz w:val="24"/>
          <w:szCs w:val="24"/>
          <w:highlight w:val="none"/>
        </w:rPr>
        <w:t>为机舱，泡沫浮力舱与客舱，艏尖舱。</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本船舱室甲板从艉向艏依次为：卫生间（左舷）、吧台（右舷）、客舱、驾驶室。</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本船舱室净空高不小于 1.85m。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3、船体结构</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本船结构设计按照中国船级社（CCS）《内河小型船舶建造规范》(2022)， 全船肋骨间距为 500mm，纵骨间距 350mm。</w:t>
      </w:r>
    </w:p>
    <w:p>
      <w:pPr>
        <w:bidi w:val="0"/>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本船骨架结构形式：船底为纵骨架式，每档肋位设置实肋板，1 道中内龙骨，2 道旁内龙骨，龙骨间距 700mm，船侧为横骨架式，每间隔 3 档肋位设置强肋骨，主甲板及</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为纵骨架式，边甲板为横骨架式，并设边纵桁</w:t>
      </w:r>
      <w:r>
        <w:rPr>
          <w:rFonts w:hint="eastAsia" w:ascii="仿宋" w:hAnsi="仿宋" w:eastAsia="仿宋" w:cs="仿宋"/>
          <w:color w:val="auto"/>
          <w:sz w:val="24"/>
          <w:szCs w:val="24"/>
          <w:highlight w:val="none"/>
          <w:lang w:eastAsia="zh-CN"/>
        </w:rPr>
        <w:t>。</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本船主要结构尺寸如下：</w:t>
      </w:r>
    </w:p>
    <w:tbl>
      <w:tblPr>
        <w:tblStyle w:val="966"/>
        <w:tblW w:w="621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0"/>
        <w:gridCol w:w="4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191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4305"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设计板厚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船底外板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7mm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平板龙骨</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11mm 宽度 450mm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船侧外板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7mm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露天甲板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6mm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边甲板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7mm，宽 300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上建围壁</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4.5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3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载客甲板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客舱甲板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FRP2mm+9mm 夹板+ FRP2mm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尾封板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FRP5mm+45mm 杉木板+FRP5mm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水密舱壁板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FRP2mm+W20+FRP2mm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19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防撞舱壁板</w:t>
            </w:r>
          </w:p>
        </w:tc>
        <w:tc>
          <w:tcPr>
            <w:tcW w:w="4305"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FRP2mm+W20+FRP2mm</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隔舱：#7、#31 肋位设置水密横舱壁。#14、#20、#26 肋位设置半横舱壁，并设扶强材加强。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船体材料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船体及上建结构材料采用中国船级社认可的玻璃纤维增强材料、胶衣树脂及不饱和聚脂树脂。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结构防火材料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本船客舱（含卫生间）与机舱的分隔舱壁糊 3mm 厚阻燃树脂后贴 2 层 20mm 厚 A-60 级防火陶瓷岩棉以代替 10mm 的认可型隔热材料，且该隔热材料应在机舱的</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、侧 壁处向后延伸 450mm；机舱的</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、侧、后壁采用 3mm 阻燃树脂进行防火分隔。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客舱（含卫生间） 处所顶部、侧面加装隔热层， 客舱（含卫生间） 的所有舱壁及 其衬板、天花板、衬档及隔热物均不燃材料，若上述衬板、天花板的表面需有贴面， 则贴面可使用可燃材料； 未敷设不燃材料的天花板或内衬，应采用敷设厚度不小于 1mm 阻燃性树脂或等效耐火材料敷设； 舱内的窗帘等内饰纺织品材料应具有阻止火焰蔓延 性能，地板覆盖物应有低播焰性。</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4、船舶舾装</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舵设备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操舵系统采用人力液压型船用液压泵，配液压油缸操舵系统， 液压油管长度为 18 米。在驾控台转动手轮，调节操作滑阀，改变液压油缸压力，控制艉机的左右转向。舵机配有舵角指示器（可在驾驶台显示）。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系泊设备本船在首、尾两舷各设双十字系缆桩 2 只，中部设挂环 12 只供挂防撞碰垫之用， 船首设 1 只十字系缆桩（可供拖带）。船首配 25kg 四爪铸钢锚 1 只，Φ20×30m 锚索 1 根，Φ20×35m 系船索 2 根，均为锦纶索。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栏杆、扶手</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本船甲板设置不锈钢栏杆， 高度 1000mm，</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甲板设置舷墙及不锈钢栏杆，总高 度1000mm。</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甲板及护舷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全船设防滑甲板，两舷及尾部设 D100 橡胶护舷材，镶不锈钢扁条。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 门、窗及舱口盖</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本船客舱尾部设 1 扇净宽度 800mm 的风雨密移门， 首部设 1 扇净宽度 650mm 的风 雨密前开门，门槛高度均为 100mm；驾驶室前窗采用无色钢化玻璃固定窗，外装 1 个 DC12V 双臂电动雨刮器。客舱及驾驶室两侧设置钢化玻璃固定窗（带移窗）。</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机舱设 3 个 1300x800/R80 舱口盖，首尖舱设 2 个 700x430/R40 玻璃钢风雨密人 孔盖，舱口盖围板高度均为 50mm。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5、消防、救生设备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消防设备配制表如下</w:t>
      </w:r>
    </w:p>
    <w:tbl>
      <w:tblPr>
        <w:tblStyle w:val="966"/>
        <w:tblW w:w="719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6"/>
        <w:gridCol w:w="2308"/>
        <w:gridCol w:w="1678"/>
        <w:gridCol w:w="1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1396"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位置</w:t>
            </w:r>
          </w:p>
        </w:tc>
        <w:tc>
          <w:tcPr>
            <w:tcW w:w="2308"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678"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规格及型号</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restart"/>
            <w:tcBorders>
              <w:bottom w:val="nil"/>
            </w:tcBorders>
            <w:noWrap w:val="0"/>
            <w:vAlign w:val="top"/>
          </w:tcPr>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机舱</w:t>
            </w: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泡沫灭火器</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9L</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电动消防泵</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流量 12</w:t>
            </w:r>
            <w:r>
              <w:rPr>
                <w:rFonts w:hint="eastAsia" w:ascii="仿宋" w:hAnsi="仿宋" w:eastAsia="仿宋" w:cs="仿宋"/>
                <w:color w:val="auto"/>
                <w:sz w:val="24"/>
                <w:szCs w:val="24"/>
                <w:highlight w:val="none"/>
                <w:lang w:val="en-US" w:eastAsia="zh-CN"/>
              </w:rPr>
              <w:t>m³</w:t>
            </w:r>
            <w:r>
              <w:rPr>
                <w:rFonts w:hint="eastAsia" w:ascii="仿宋" w:hAnsi="仿宋" w:eastAsia="仿宋" w:cs="仿宋"/>
                <w:color w:val="auto"/>
                <w:sz w:val="24"/>
                <w:szCs w:val="24"/>
                <w:highlight w:val="none"/>
              </w:rPr>
              <w:t>/h</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restart"/>
            <w:tcBorders>
              <w:bottom w:val="nil"/>
            </w:tcBorders>
            <w:noWrap w:val="0"/>
            <w:vAlign w:val="top"/>
          </w:tcPr>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p>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尾甲板</w:t>
            </w: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砂箱</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0.03</w:t>
            </w:r>
            <w:r>
              <w:rPr>
                <w:rFonts w:hint="eastAsia" w:ascii="仿宋" w:hAnsi="仿宋" w:eastAsia="仿宋" w:cs="仿宋"/>
                <w:color w:val="auto"/>
                <w:sz w:val="24"/>
                <w:szCs w:val="24"/>
                <w:highlight w:val="none"/>
                <w:lang w:val="en-US" w:eastAsia="zh-CN"/>
              </w:rPr>
              <w:t>m³</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干粉灭火器</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5kg</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太平斧</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半圆形消防桶</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bottom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消火栓</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vMerge w:val="continue"/>
            <w:tcBorders>
              <w:top w:val="nil"/>
            </w:tcBorders>
            <w:noWrap w:val="0"/>
            <w:vAlign w:val="top"/>
          </w:tcPr>
          <w:p>
            <w:pPr>
              <w:bidi w:val="0"/>
              <w:spacing w:line="360" w:lineRule="auto"/>
              <w:ind w:left="0" w:leftChars="0"/>
              <w:rPr>
                <w:rFonts w:hint="eastAsia" w:ascii="仿宋" w:hAnsi="仿宋" w:eastAsia="仿宋" w:cs="仿宋"/>
                <w:color w:val="auto"/>
                <w:sz w:val="24"/>
                <w:szCs w:val="24"/>
                <w:highlight w:val="none"/>
              </w:rPr>
            </w:pP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消防水龙带及水枪</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0" w:hRule="atLeast"/>
          <w:jc w:val="center"/>
        </w:trPr>
        <w:tc>
          <w:tcPr>
            <w:tcW w:w="1396"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w:t>
            </w:r>
          </w:p>
        </w:tc>
        <w:tc>
          <w:tcPr>
            <w:tcW w:w="230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干粉灭火器</w:t>
            </w:r>
          </w:p>
        </w:tc>
        <w:tc>
          <w:tcPr>
            <w:tcW w:w="1678"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5kg</w:t>
            </w:r>
          </w:p>
        </w:tc>
        <w:tc>
          <w:tcPr>
            <w:tcW w:w="1812"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具</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救生设备配制表如下：</w:t>
      </w:r>
    </w:p>
    <w:tbl>
      <w:tblPr>
        <w:tblStyle w:val="966"/>
        <w:tblW w:w="721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9"/>
        <w:gridCol w:w="2110"/>
        <w:gridCol w:w="1920"/>
        <w:gridCol w:w="18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1359"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位置</w:t>
            </w:r>
          </w:p>
        </w:tc>
        <w:tc>
          <w:tcPr>
            <w:tcW w:w="211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规格及型号</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尾甲板</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救生圈</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带30m救生浮索</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救生圈</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救生衣</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成人</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28</w:t>
            </w:r>
            <w:r>
              <w:rPr>
                <w:rFonts w:hint="eastAsia" w:ascii="仿宋" w:hAnsi="仿宋" w:eastAsia="仿宋" w:cs="仿宋"/>
                <w:color w:val="auto"/>
                <w:sz w:val="24"/>
                <w:szCs w:val="24"/>
                <w:highlight w:val="none"/>
              </w:rPr>
              <w:t xml:space="preserve"> 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135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客舱</w:t>
            </w:r>
          </w:p>
        </w:tc>
        <w:tc>
          <w:tcPr>
            <w:tcW w:w="211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救生衣</w:t>
            </w:r>
          </w:p>
        </w:tc>
        <w:tc>
          <w:tcPr>
            <w:tcW w:w="1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船员</w:t>
            </w:r>
          </w:p>
        </w:tc>
        <w:tc>
          <w:tcPr>
            <w:tcW w:w="1827"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件</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6、航行信号设备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本船根据《规则》要求设有 11 只航行信号灯， 分别为 1 只白桅灯、1 只白环灯（锚灯）、1 只绿环灯、1 只红闪灯、1 只绿闪灯、2 只红环失控灯、1 只艉灯、1 只左舷灯、 1 只右舷灯、1 只白闪灯、均为 DC12V 25W。本船设 1 只 SSD-1 (DC12V/100W)探照灯， 装在</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甲板首部。</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本船应配红、白旗各一面（尺寸大于等于 0.4mx0.6m） ,直径 300mm 黑色球体号型 1 只。本船配 1 只手电筒。</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 、航行导航设备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本船配有 1 套固定式甚高频无线电话。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本船配有 1 台主机远程控制仪表可对主机转速等监控与控制，主机配套。</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本船配有 1 台辅机远程控制仪表可对辅机转速等监控与控制，辅机配套。</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 本船配有测深杆 2 根，测深锤 1 个。</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7.5 本船配 1 台车载播放器（带 FM/AM）用于接收航行安全信息。</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7.6 本船配有 1 套舵角指示器，舵机配套。 </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 、船内通信设备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在</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甲板设有 1 只 DC12V 120dB 双筒电笛。</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驾驶台设喊话器 1 套，CJB40AD 配扬声器若干个，对内对外进行喊话。</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9、防污染</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 xml:space="preserve">本船卫生间底部设 1 只 350L 污水箱，甲板上设有 1 只污水标准排放接头。卫生间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电动马桶产生的污水排放至污水箱内，洗手池产生的污水通过舷侧污水管直排至舷外。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.2 本船机舱设有 1 只 1</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L 污油箱， 甲板上设有 1 只污油水标准排放接头， 机舱污油水通过 1 台手摇泵抽至污油箱内， 在船靠岸时通过岸上污油处理设施抽取到岸上处理。</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.3 本船在客舱设 4 只容积 25L 的垃圾存放箱。</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本船建议船舶垃圾分为以下几类，并应加上图示、颜色等标识：</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（1）厨余垃圾；</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（2）可回收垃圾（塑料、金属、废纸等）；</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（3）有害垃圾（含油垃圾、废电池、灯管等）；</w:t>
      </w:r>
    </w:p>
    <w:p>
      <w:pPr>
        <w:bidi w:val="0"/>
        <w:spacing w:line="360" w:lineRule="auto"/>
        <w:rPr>
          <w:rFonts w:hint="eastAsia" w:ascii="仿宋" w:hAnsi="仿宋" w:eastAsia="仿宋" w:cs="仿宋"/>
          <w:bCs w:val="0"/>
          <w:color w:val="auto"/>
          <w:sz w:val="32"/>
          <w:highlight w:val="none"/>
        </w:rPr>
      </w:pPr>
      <w:r>
        <w:rPr>
          <w:rFonts w:hint="eastAsia" w:ascii="仿宋" w:hAnsi="仿宋" w:eastAsia="仿宋" w:cs="仿宋"/>
          <w:color w:val="auto"/>
          <w:sz w:val="24"/>
          <w:szCs w:val="24"/>
          <w:highlight w:val="none"/>
        </w:rPr>
        <w:t>（4）其它垃圾（烟头、 一次性餐具等）。</w:t>
      </w:r>
    </w:p>
    <w:p>
      <w:pPr>
        <w:rPr>
          <w:rFonts w:hint="eastAsia" w:ascii="仿宋" w:hAnsi="仿宋" w:eastAsia="仿宋" w:cs="仿宋"/>
          <w:color w:val="auto"/>
          <w:highlight w:val="none"/>
        </w:rPr>
      </w:pPr>
    </w:p>
    <w:p>
      <w:pPr>
        <w:rPr>
          <w:rStyle w:val="355"/>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（二）10.56m巡护艇</w:t>
      </w:r>
      <w:r>
        <w:rPr>
          <w:rFonts w:hint="eastAsia" w:ascii="仿宋" w:hAnsi="仿宋" w:eastAsia="仿宋" w:cs="仿宋"/>
          <w:b/>
          <w:bCs/>
          <w:color w:val="auto"/>
          <w:sz w:val="24"/>
          <w:szCs w:val="24"/>
          <w:highlight w:val="none"/>
        </w:rPr>
        <w:t>技术需求</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1、概述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1 船型、航区及用途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本船为单底、单甲板，双机双桨，舷外汽油挂机动力驱动的尖舭型玻璃钢船，船体及上层建筑均采用玻璃纤维增强塑料制造。可航行于内河 B 级航区。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设计准则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本船设计准则为中国船级社（CCS）《内河高速船建造规范》(2022)，中华人民共和国海事局（MSA）《内河船舶法定检验技术规则》（2019），中国船级社（CCS）《材料与焊接规范》（2022）及 2023 年修改通报； 中华人民共和国海事局（MSA）《吨位丈量规则》（2022）。</w:t>
      </w:r>
    </w:p>
    <w:p>
      <w:pPr>
        <w:bidi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本船按高速船进行设计。</w:t>
      </w:r>
    </w:p>
    <w:p>
      <w:pPr>
        <w:numPr>
          <w:ilvl w:val="0"/>
          <w:numId w:val="4"/>
        </w:num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 xml:space="preserve">3 </w:t>
      </w:r>
      <w:r>
        <w:rPr>
          <w:rFonts w:hint="eastAsia" w:ascii="仿宋" w:hAnsi="仿宋" w:eastAsia="仿宋" w:cs="仿宋"/>
          <w:color w:val="auto"/>
          <w:sz w:val="24"/>
          <w:szCs w:val="24"/>
          <w:highlight w:val="none"/>
        </w:rPr>
        <w:t>定员</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本船乘客 10 人，船员 2 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稳性及不沉性</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本船稳性及不沉性满足中华人民共和国海事局（MSA）《内河船舶法定检验技术规则》（2019）对内河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干舷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本船干舷满足中华人民共和国海事局（MSA）《内河船舶法定检验技术规则》（2019）对内河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吨位</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本船吨位中华人民共和国海事局（MSA）《吨位丈量规则》（2022）进行校核。</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 续航力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本船艉甲板左、右两舷各设有 1 只 125L 容量的燃油箱，续航力为 2h。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 xml:space="preserve"> 主机及设计航速</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本船主机选用汽油舷外挂机 2 台，单机额定功率/转速：2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HP</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147</w:t>
      </w:r>
      <w:r>
        <w:rPr>
          <w:rFonts w:hint="eastAsia" w:ascii="仿宋" w:hAnsi="仿宋" w:eastAsia="仿宋" w:cs="仿宋"/>
          <w:color w:val="auto"/>
          <w:sz w:val="24"/>
          <w:szCs w:val="24"/>
          <w:highlight w:val="none"/>
        </w:rPr>
        <w:t>kW)/5600rpm。在其额定功率下，本船最高航速可达 65km/h。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航行限制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应通过回转试验确定允许的主机转速、航速及舵角，本船建议满舵回转时，左、右主机转速不超过 2000rpm。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2、总布置</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本船甲板下共设 2 道水密舱壁，分</w:t>
      </w:r>
      <w:r>
        <w:rPr>
          <w:rFonts w:hint="eastAsia" w:ascii="仿宋" w:hAnsi="仿宋" w:eastAsia="仿宋" w:cs="仿宋"/>
          <w:color w:val="auto"/>
          <w:sz w:val="24"/>
          <w:szCs w:val="24"/>
          <w:highlight w:val="none"/>
          <w:lang w:eastAsia="zh-CN"/>
        </w:rPr>
        <w:t>割</w:t>
      </w:r>
      <w:r>
        <w:rPr>
          <w:rFonts w:hint="eastAsia" w:ascii="仿宋" w:hAnsi="仿宋" w:eastAsia="仿宋" w:cs="仿宋"/>
          <w:color w:val="auto"/>
          <w:sz w:val="24"/>
          <w:szCs w:val="24"/>
          <w:highlight w:val="none"/>
        </w:rPr>
        <w:t>为艉舱</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乘员舱、泡沫浮力舱, 艏尖舱。其中乘员舱设有单人座椅 10 张，驾驶椅 2 张。</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前排驾驶椅配安全带。</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 船体结构</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本船结构根据中国船级社（CCS）《内河高速船建造规范》（2022）要求进行设计，校核。全船肋骨间距为 475mm，纵骨间距 320mm。</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本船骨架结构形式：船底纵骨架式,每档肋位设置实肋板，1 道中内龙骨，2 道旁内龙骨；船侧为横骨架式，每间隔 1 个肋位设置强肋骨；主甲板及</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为纵骨架式，边甲板横骨架式。</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本船主要结构尺寸如下：</w:t>
      </w:r>
    </w:p>
    <w:tbl>
      <w:tblPr>
        <w:tblStyle w:val="966"/>
        <w:tblW w:w="6299" w:type="dxa"/>
        <w:tblInd w:w="19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9"/>
        <w:gridCol w:w="3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379"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3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设计板厚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船底外板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6mm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平板龙骨</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9mm 宽度 300mm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船侧外板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上建前端壁</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上建侧、后围壁</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4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4 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舱室甲板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FRP3mm+9mm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艉封板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FRP5mm+45 硬木板+ FRP5mm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水密舱壁板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FRP5mm+9mm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防撞舱壁板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FRP5mm+9mm 夹板+ FRP1mm</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隔舱：#4、#18 肋位设置水密横舱壁。</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船体材料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本船采用中国船级社认可的玻璃纤维增强材料、胶衣树脂及不饱和聚脂树脂。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防火材料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本船在艉舱前壁糊 3mm 阻燃树脂基础上贴 2 层 20mm 防火陶瓷岩棉板，其结构应能承受 15min 的标准耐火试验。尾舱侧、后壁，</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糊 3mm 阻燃树脂；乘员舱顶部、侧面加装隔热层，未敷设不燃材料的天花板或内衬， 应采用敷设厚度不小于 1mm 阻燃性树脂或等效耐火材料敷设，舱内的窗帘等内饰纺织品材料应具有阻止火焰蔓延性能，地板覆盖物应有低播焰性。</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4、船舶舾装</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舵设备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操舵系统可采用液压操舵系统。在驾控台转动手轮，控制主机的左右转向，应满足从一舷满舵到另一舷满舵操舵时间不超过 20 秒。</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系泊设备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本船两舷共设不锈钢羊角 2 对，挂环 3 对，船首设 1 只不锈钢 U 型环（可兼做拖带）</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船首配 15kg 大抓力锚 1 只，Φ16 × 50m 锚索 1 根，Φ16 × 20m 系船索 2 根，均为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锦纶索。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栏杆、扶手</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本船首、尾甲板设置不锈钢保护栏杆，上建两舷设安全扶手。</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 甲板及护舷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全船设防滑甲板，两舷及尾部设 D90 橡胶护舷材，镶不锈钢扁条。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门、窗及舱口盖</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本船在乘员舱尾部设净宽度800mm的风雨密双开门， 船首设净宽度600mm的风雨密单开门，门槛高度均为150mm；前挡风玻璃窗采用钢化玻璃固定窗。乘员舱两侧设置 钢化玻璃窗（带移窗）。艉甲板设1个500x1000/R50玻璃钢水密舱口盖，首甲板设1个380x430/R50玻璃钢水密舱口盖，舱口盖航行期间应保持关闭。</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5、消防、救生设备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（1)、本船配 5kg 干粉灭火器 2 只，9L 泡沫灭火器 1 只。</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（2)、本船配消防水桶 1 只，带绳子 5m。</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（3)、本船配 2 个救生圈(均带有 18m 长救生浮索)。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（4)、本船配救生衣 13 件(包含船员衣 2 件，儿童救生衣 1 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（5）、本船配太平斧 1 把。</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6、航行信号设备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本船根据 19《法规》设有 9 只航行信号灯：1 盏白桅灯、1 盏白闪灯、1 盏白环 灯、1 盏黄闪灯、1 盏左舷灯、1 盏右舷灯、2 盏红环灯和 1 盏艉灯， 航行信号灯规格 均为：DC12V 25W。通过安装在驾驶台的航行信号灯控制板进行控制。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甲板艏部配有 1 盏 JABSCO 135SL(DC12V 100W)型电动探照灯，控制板设在驾控台。</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7、通讯导航设备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本船配有 1 部固定甚高频无线电话。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驾驶台设 1 套 喊话装置，可对外、对内喊话。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本船配有 1 只车载播放器，用于接收航行信息和播放娱乐节目。</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7.4 在</w:t>
      </w: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 xml:space="preserve">甲板设有 1 只 DC12V 120dB 型双筒电笛。 </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8、环保要求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生活固体垃圾</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本船在乘员舱设 1 只容积 20L 的垃圾存放桶（带 4 宫格，满足垃圾分类要求）， 便于垃圾分类收集并集中处理。</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舷外挂机防污染</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在挂机安装部位设 1 块面积不小于 0.05㎡ 的吸油毡，并配 5L 污油桶。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艉舱内设 1 只 30L 污油桶。</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9、注意事项</w:t>
      </w:r>
    </w:p>
    <w:p>
      <w:pPr>
        <w:bidi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szCs w:val="24"/>
          <w:highlight w:val="none"/>
        </w:rPr>
        <w:t>为了安全起见，乘各应尽量乘坐均匀，严禁出现集中一舷情况，且所有人员（包括船员）必须穿救生衣乘坐。</w:t>
      </w:r>
    </w:p>
    <w:p>
      <w:pPr>
        <w:spacing w:line="520" w:lineRule="exact"/>
        <w:ind w:firstLine="241" w:firstLineChars="100"/>
        <w:rPr>
          <w:rStyle w:val="327"/>
          <w:rFonts w:hint="eastAsia" w:ascii="仿宋" w:hAnsi="仿宋" w:eastAsia="仿宋" w:cs="仿宋"/>
          <w:color w:val="auto"/>
          <w:highlight w:val="none"/>
          <w:lang w:val="en-US" w:eastAsia="zh-CN"/>
        </w:rPr>
      </w:pPr>
      <w:r>
        <w:rPr>
          <w:rFonts w:hint="eastAsia" w:ascii="仿宋" w:hAnsi="仿宋" w:eastAsia="仿宋" w:cs="仿宋"/>
          <w:b/>
          <w:bCs/>
          <w:color w:val="auto"/>
          <w:kern w:val="2"/>
          <w:sz w:val="24"/>
          <w:szCs w:val="24"/>
          <w:highlight w:val="none"/>
          <w:lang w:val="en-US" w:eastAsia="zh-CN" w:bidi="ar-SA"/>
        </w:rPr>
        <w:t>（三）7.68m巡护艇技术需求</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1、概述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1 船型、航区及用途</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本艇为单底、单甲板，单机单桨，舷外汽油机动力驱动的尖舭型玻璃钢船，船体及上层建筑均采用玻璃纤维增强塑料制造。</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设计准则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本艇设计准则为中国船级社（CCS）《内河高速船入级与建造规范》(2016)及 2018 年变更通告， 中国船级社（CCS）《材料与焊接规范》（2021），中华人民共和国海事局 （MSA）《内河船舶法定检验技术规则》（2019），中华人民共和国海事局（MSA）《内河小型船舶检验技术规则》（2016） 及 2019 年修改通报。</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本艇按高速船进行设计</w:t>
      </w:r>
    </w:p>
    <w:p>
      <w:pPr>
        <w:rPr>
          <w:rFonts w:hint="eastAsia" w:ascii="仿宋" w:hAnsi="仿宋" w:eastAsia="仿宋" w:cs="仿宋"/>
          <w:color w:val="auto"/>
          <w:highlight w:val="none"/>
          <w:lang w:val="en-US" w:eastAsia="zh-CN"/>
        </w:rPr>
      </w:pP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 xml:space="preserve"> 定员</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本艇工作人员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人，船员 1 人。</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稳性</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本艇稳性满足中华人民共和国海事局（MSA）《内河船舶法定检验技术规则》（2019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 xml:space="preserve"> 干舷</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本艇干舷满足中华人民共和国海事局（MSA）《内河船舶法定检验技术规则》（2019）对内河 B 级航区船舶的要求。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 xml:space="preserve"> 吨位</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本艇吨位按照中华人民共和国海事局（MSA）《内河小型船舶检验技术规则》（2016）及 2019 年修改通报进行校核。</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 xml:space="preserve"> 续航力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本艇尾甲板配 2 只60升容量的日用燃油箱，油箱带遮阳罩，设计续航力为 100km。 </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 xml:space="preserve"> 主机及设计航速</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本艇主机选用汽油舷外机 1 台，单机额定功率</w:t>
      </w:r>
      <w:r>
        <w:rPr>
          <w:rFonts w:hint="eastAsia" w:ascii="仿宋" w:hAnsi="仿宋" w:eastAsia="仿宋" w:cs="仿宋"/>
          <w:color w:val="auto"/>
          <w:sz w:val="24"/>
          <w:szCs w:val="24"/>
          <w:highlight w:val="none"/>
          <w:lang w:val="en-US" w:eastAsia="zh-CN"/>
        </w:rPr>
        <w:t>175</w:t>
      </w:r>
      <w:r>
        <w:rPr>
          <w:rFonts w:hint="eastAsia" w:ascii="仿宋" w:hAnsi="仿宋" w:eastAsia="仿宋" w:cs="仿宋"/>
          <w:color w:val="auto"/>
          <w:sz w:val="24"/>
          <w:szCs w:val="24"/>
          <w:highlight w:val="none"/>
        </w:rPr>
        <w:t>HP，在其额定功率下，本船最高航速可达</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5km/h。</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 航行限制</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应通过回转试验确定允许的主机转速、航速及舵角，本艇建议满舵回转时，主机转速不超过 3000rpm。</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2、总布置</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本艇甲板下共设 2 道水密舱壁，分别</w:t>
      </w:r>
      <w:r>
        <w:rPr>
          <w:rFonts w:hint="eastAsia" w:ascii="仿宋" w:hAnsi="仿宋" w:eastAsia="仿宋" w:cs="仿宋"/>
          <w:color w:val="auto"/>
          <w:sz w:val="24"/>
          <w:szCs w:val="24"/>
          <w:highlight w:val="none"/>
          <w:lang w:eastAsia="zh-CN"/>
        </w:rPr>
        <w:t>割</w:t>
      </w:r>
      <w:r>
        <w:rPr>
          <w:rFonts w:hint="eastAsia" w:ascii="仿宋" w:hAnsi="仿宋" w:eastAsia="仿宋" w:cs="仿宋"/>
          <w:color w:val="auto"/>
          <w:sz w:val="24"/>
          <w:szCs w:val="24"/>
          <w:highlight w:val="none"/>
        </w:rPr>
        <w:t>为艉舱</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乘员舱, 艏尖舱。其中乘员舱设有 </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 张乘员座椅及 1 张驾驶椅。驾驶椅及前排乘员座椅均配安全带。</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 船体结构</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本艇结构设计按中国船级社（CCS）《内河高速船入级与建造规范》（2016）及 2018年变更通告的要求进行，全船肋骨间距为 500mm，纵骨间距 300mm。</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本艇骨架结构形式：船底纵骨架式，每档肋位设置实肋板，1道中内龙骨，4道船底纵骨；船侧横骨架式，设置肋骨及纵桁；甲板为纵骨架式。</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本艇主要结构尺寸如下：</w:t>
      </w:r>
    </w:p>
    <w:tbl>
      <w:tblPr>
        <w:tblStyle w:val="966"/>
        <w:tblW w:w="629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79"/>
        <w:gridCol w:w="3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jc w:val="center"/>
        </w:trPr>
        <w:tc>
          <w:tcPr>
            <w:tcW w:w="2379"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p>
        </w:tc>
        <w:tc>
          <w:tcPr>
            <w:tcW w:w="3920" w:type="dxa"/>
            <w:noWrap w:val="0"/>
            <w:vAlign w:val="top"/>
          </w:tcPr>
          <w:p>
            <w:pPr>
              <w:bidi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设计板厚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船底外板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6mm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平板龙骨</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9mm 宽度 250mm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船侧外板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载客甲板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3mm+9mm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艉封板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5mm+3x15mm 夹板+ FRP5mm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水密舱壁板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5mm+7mm 夹板+ FRP1mm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2379"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防撞舱壁板</w:t>
            </w:r>
          </w:p>
        </w:tc>
        <w:tc>
          <w:tcPr>
            <w:tcW w:w="3920" w:type="dxa"/>
            <w:noWrap w:val="0"/>
            <w:vAlign w:val="top"/>
          </w:tcPr>
          <w:p>
            <w:pPr>
              <w:bidi w:val="0"/>
              <w:spacing w:line="360" w:lineRule="auto"/>
              <w:ind w:left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FRP 5mm+7mm 夹板+ FRP1mm</w:t>
            </w:r>
          </w:p>
        </w:tc>
      </w:tr>
    </w:tbl>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隔舱：#2、#13 肋位设置水密横舱壁，#7 设边纵桁支撑舱壁。。</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船体材料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本艇采用中国船级社认可的玻璃纤维增强材料、胶衣树脂及不饱和聚脂树脂。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防火材料</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本艇艉舱周壁糊 3mm 厚阻燃树脂。本艇乘员舱顶部、侧面加装隔热层；未敷设不燃材料的天花板或内衬，应采用敷设厚度不小于 1mm 阻燃性树脂或等效耐火材料敷设，舱内的窗帘等内饰纺织品材料应具有阻止火焰蔓延性能，地板覆盖物应有低播焰性。</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4、船舶舾装</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舵设备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操舵系统可采用液压操舵系统。在驾控台转动手轮，控制主机的左右转向，应满足从一舷满舵到另一舷满舵操舵时间不超过 20 秒。</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4.2 系泊设备</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本艇两舷共设不锈钢羊角 2 对，中部设挂环 4 只，船首设不锈钢 U 型环 1 只（可兼做拖带）。船首配 10kg 大抓力锚 1 只，φ16×50m 锚索 1 根，φ16×20m 系船索 2根，均为锦纶索。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栏杆、扶手</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本艇首、尾甲板设置不锈钢保护栏杆， 尾栏杆高度为 1000mm， 上建两舷设安全扶手。</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 甲板及护舷全船设防滑甲板，两舷及尾部设 D60 橡胶护舷材，镶不锈钢扁条。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门、窗及舱口盖</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本艇在乘员舱尾部设净宽度 700mm 的风雨密双开门，首部设净宽度 600mm 的风雨密单开门，门槛高度均为 150mm；驾驶室前窗采用钢化玻璃固定窗。乘员舱两侧设置 1 套钢化玻璃固定窗（带换气移窗）。艉甲板设 1 个 390×1370/R50 玻璃钢水密舱口盖。</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5、消防、救生设备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1)、本艇配 5kg 干粉灭火器 2 只，9L 泡沫灭火器 1 只。</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2)、本艇配消防水桶 1 只，带绳子 5m。</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3)、本艇配自动舱底泵 2 台，另设 1 台手摇泵。</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4)、本艇配 2 个救生圈(带有 18m 长救生浮索)。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5)、本艇配救生衣 10 件(包含船员衣 1 件、备用救生衣 2 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6）、本艇配太平斧 1 把。</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6、照明系统</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航行信号灯</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 19《法规》要求配备航行信号灯： 1 盏白环灯、1 盏黄闪灯、1 盏左舷灯、1 盏右舷灯、1 盏艉灯， 航行信号灯规格均为： DC12V 25W。通过安装在驾驶台的航行信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号灯控制板进行控制。</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电动搜索灯</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甲板艏部配有 1 盏 JABSCO 135SL(DC12V 100W)型电动搜索灯，控制板设在驾控台。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舱室照明</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乘员舱设有 4 盏 DC12V 5W 型 LED 筒灯，电源开关设在尾门出入口旁。</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7、通讯导航设备</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1 </w:t>
      </w:r>
      <w:r>
        <w:rPr>
          <w:rFonts w:hint="eastAsia" w:ascii="仿宋" w:hAnsi="仿宋" w:eastAsia="仿宋" w:cs="仿宋"/>
          <w:color w:val="auto"/>
          <w:sz w:val="24"/>
          <w:szCs w:val="24"/>
          <w:highlight w:val="none"/>
        </w:rPr>
        <w:t>雨刮器</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前挡风玻璃窗设有 1 套扇形雨刮器，规格为：单臂，DC12V 30W，控制板设在驾控台。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 xml:space="preserve"> 电笛</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顶篷</w:t>
      </w:r>
      <w:r>
        <w:rPr>
          <w:rFonts w:hint="eastAsia" w:ascii="仿宋" w:hAnsi="仿宋" w:eastAsia="仿宋" w:cs="仿宋"/>
          <w:color w:val="auto"/>
          <w:sz w:val="24"/>
          <w:szCs w:val="24"/>
          <w:highlight w:val="none"/>
        </w:rPr>
        <w:t>甲板艏部设有 1 只 DC12V 120dB 型不锈钢电笛，控制板设在驾控台。</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 甚高频无线电话</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本艇设 1 套 固定式甚高频无线电话。</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 xml:space="preserve"> 车载 CD 播放机</w:t>
      </w:r>
    </w:p>
    <w:p>
      <w:pPr>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本艇设 1 部车载 CD 播放机， 配有 2 只 5W 吸顶式扬声器， 用于接收航行信息和播放娱乐节目。</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8、其它</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本艇配#5 国旗 1 面</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本艇配有 1 套电子油位计。</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9、环保要求</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 为了防止挂机油污染，应在甲板艉部设 1 只 5L 污油桶和 1 块面积不小于 0.05m2 吸油毡。</w:t>
      </w:r>
    </w:p>
    <w:p>
      <w:pPr>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 为了防止生活垃圾污染， 应在乘员舱内适当位置放置 1 个 15L 杂物桶（带 4 宫格， 满足垃圾分类要求），便于垃圾集中处理。</w:t>
      </w:r>
    </w:p>
    <w:p>
      <w:pPr>
        <w:bidi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10、注意事项</w:t>
      </w:r>
    </w:p>
    <w:p>
      <w:pPr>
        <w:bidi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szCs w:val="24"/>
          <w:highlight w:val="none"/>
        </w:rPr>
        <w:t>为了安全起见，乘客应尽量乘坐均匀，严禁出现乘客集中一舷情况，且所有人员（包括船员、工作人员）必须穿救生衣乘坐。</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三、项目实施要求</w:t>
      </w:r>
    </w:p>
    <w:p>
      <w:pPr>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1.为保证本项目的顺利实施，供应商应结合各自产品特点，自行设计实施方案、图纸并配以文字说明；</w:t>
      </w:r>
    </w:p>
    <w:p>
      <w:pPr>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2.交货</w:t>
      </w:r>
      <w:r>
        <w:rPr>
          <w:rFonts w:hint="eastAsia" w:ascii="仿宋" w:hAnsi="仿宋" w:eastAsia="仿宋" w:cs="仿宋"/>
          <w:color w:val="auto"/>
          <w:kern w:val="0"/>
          <w:sz w:val="24"/>
          <w:szCs w:val="24"/>
          <w:highlight w:val="none"/>
        </w:rPr>
        <w:t>：</w:t>
      </w:r>
      <w:r>
        <w:rPr>
          <w:rFonts w:hint="eastAsia" w:ascii="仿宋" w:hAnsi="仿宋" w:eastAsia="仿宋" w:cs="仿宋"/>
          <w:color w:val="auto"/>
          <w:sz w:val="24"/>
          <w:highlight w:val="none"/>
        </w:rPr>
        <w:t>交接船签字前，必须符合合同规定，完成系泊、航行试验及各种试验，各项性能应达到技术要求，各种备品、证书、资料等均已办妥；交船时，船舶应处于彻底清洁状态，直到采购单位认为可安全营运为止</w:t>
      </w:r>
      <w:r>
        <w:rPr>
          <w:rFonts w:hint="eastAsia" w:ascii="仿宋" w:hAnsi="仿宋" w:eastAsia="仿宋" w:cs="仿宋"/>
          <w:color w:val="auto"/>
          <w:sz w:val="24"/>
          <w:highlight w:val="none"/>
          <w:lang w:eastAsia="zh-CN"/>
        </w:rPr>
        <w:t>；</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四、售后服务及培训要求</w:t>
      </w:r>
    </w:p>
    <w:p>
      <w:pPr>
        <w:spacing w:line="5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1.本</w:t>
      </w:r>
      <w:r>
        <w:rPr>
          <w:rFonts w:hint="eastAsia" w:ascii="仿宋" w:hAnsi="仿宋" w:eastAsia="仿宋" w:cs="仿宋"/>
          <w:color w:val="auto"/>
          <w:kern w:val="0"/>
          <w:sz w:val="24"/>
          <w:szCs w:val="24"/>
          <w:highlight w:val="none"/>
          <w:lang w:val="en-US" w:eastAsia="zh-CN"/>
        </w:rPr>
        <w:t>项目</w:t>
      </w:r>
      <w:r>
        <w:rPr>
          <w:rFonts w:hint="eastAsia" w:ascii="仿宋" w:hAnsi="仿宋" w:eastAsia="仿宋" w:cs="仿宋"/>
          <w:color w:val="auto"/>
          <w:kern w:val="0"/>
          <w:sz w:val="24"/>
          <w:szCs w:val="24"/>
          <w:highlight w:val="none"/>
        </w:rPr>
        <w:t>保修期为自货物验收合格之日起</w:t>
      </w:r>
      <w:r>
        <w:rPr>
          <w:rFonts w:hint="eastAsia" w:ascii="仿宋" w:hAnsi="仿宋" w:eastAsia="仿宋" w:cs="仿宋"/>
          <w:color w:val="auto"/>
          <w:kern w:val="0"/>
          <w:sz w:val="24"/>
          <w:szCs w:val="24"/>
          <w:highlight w:val="none"/>
          <w:lang w:val="en-US" w:eastAsia="zh-CN"/>
        </w:rPr>
        <w:t>不少于</w:t>
      </w:r>
      <w:r>
        <w:rPr>
          <w:rFonts w:hint="eastAsia" w:ascii="仿宋" w:hAnsi="仿宋" w:eastAsia="仿宋" w:cs="仿宋"/>
          <w:color w:val="auto"/>
          <w:kern w:val="0"/>
          <w:sz w:val="24"/>
          <w:szCs w:val="24"/>
          <w:highlight w:val="none"/>
        </w:rPr>
        <w:t>12个月，在此期间凡供应商对本项目中所有设备、配件、辅件在到货检查及免费质保期内出现故障等情形必须按同型号无偿更换；</w:t>
      </w:r>
    </w:p>
    <w:p>
      <w:pPr>
        <w:spacing w:line="5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r>
        <w:rPr>
          <w:rFonts w:hint="eastAsia" w:ascii="仿宋" w:hAnsi="仿宋" w:eastAsia="仿宋" w:cs="仿宋"/>
          <w:color w:val="auto"/>
          <w:kern w:val="0"/>
          <w:sz w:val="24"/>
          <w:szCs w:val="24"/>
          <w:highlight w:val="none"/>
          <w:lang w:val="en-US" w:eastAsia="zh-CN"/>
        </w:rPr>
        <w:t>中标人须</w:t>
      </w:r>
      <w:r>
        <w:rPr>
          <w:rFonts w:hint="eastAsia" w:ascii="仿宋" w:hAnsi="仿宋" w:eastAsia="仿宋" w:cs="仿宋"/>
          <w:color w:val="auto"/>
          <w:kern w:val="0"/>
          <w:sz w:val="24"/>
          <w:szCs w:val="24"/>
          <w:highlight w:val="none"/>
        </w:rPr>
        <w:t>提供所配备的专职维修工程师信息，并承诺在艇质保周期内提供免费的技术支持服务，有效保证艇的各项售后维修服务；</w:t>
      </w:r>
    </w:p>
    <w:p>
      <w:pPr>
        <w:spacing w:line="52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r>
        <w:rPr>
          <w:rFonts w:hint="eastAsia" w:ascii="仿宋" w:hAnsi="仿宋" w:eastAsia="仿宋" w:cs="仿宋"/>
          <w:color w:val="auto"/>
          <w:kern w:val="0"/>
          <w:sz w:val="24"/>
          <w:szCs w:val="24"/>
          <w:highlight w:val="none"/>
          <w:lang w:val="en-US" w:eastAsia="zh-CN"/>
        </w:rPr>
        <w:t>中标人</w:t>
      </w:r>
      <w:r>
        <w:rPr>
          <w:rFonts w:hint="eastAsia" w:ascii="仿宋" w:hAnsi="仿宋" w:eastAsia="仿宋" w:cs="仿宋"/>
          <w:color w:val="auto"/>
          <w:kern w:val="0"/>
          <w:sz w:val="24"/>
          <w:szCs w:val="24"/>
          <w:highlight w:val="none"/>
        </w:rPr>
        <w:t>必须提供原厂</w:t>
      </w:r>
      <w:r>
        <w:rPr>
          <w:rFonts w:hint="eastAsia" w:ascii="仿宋" w:hAnsi="仿宋" w:eastAsia="仿宋" w:cs="仿宋"/>
          <w:color w:val="auto"/>
          <w:kern w:val="0"/>
          <w:sz w:val="24"/>
          <w:szCs w:val="24"/>
          <w:highlight w:val="none"/>
          <w:lang w:val="en-US" w:eastAsia="zh-CN"/>
        </w:rPr>
        <w:t>1年</w:t>
      </w:r>
      <w:r>
        <w:rPr>
          <w:rFonts w:hint="eastAsia" w:ascii="仿宋" w:hAnsi="仿宋" w:eastAsia="仿宋" w:cs="仿宋"/>
          <w:color w:val="auto"/>
          <w:kern w:val="0"/>
          <w:sz w:val="24"/>
          <w:szCs w:val="24"/>
          <w:highlight w:val="none"/>
        </w:rPr>
        <w:t>维护，7*24小时支持维护响应。在艇使用周期内故障，在接到报修电话后维修技术人员24小时内到达，48小时内排除故障。如不能修复，在免费质保期内，供应商必须免费提供同种规格的配件进行更换，如不能提供同种规格型号的配件，用其他型号配件代替时，需经采购人同意且不补差价，否则采购人将自行采取必要的措施，由此产生的风险和费用应由供应商承担；</w:t>
      </w:r>
    </w:p>
    <w:p>
      <w:pPr>
        <w:spacing w:line="520" w:lineRule="exact"/>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4.</w:t>
      </w:r>
      <w:r>
        <w:rPr>
          <w:rFonts w:hint="eastAsia" w:ascii="仿宋" w:hAnsi="仿宋" w:eastAsia="仿宋" w:cs="仿宋"/>
          <w:color w:val="auto"/>
          <w:kern w:val="0"/>
          <w:sz w:val="24"/>
          <w:szCs w:val="24"/>
          <w:highlight w:val="none"/>
          <w:lang w:val="en-US" w:eastAsia="zh-CN"/>
        </w:rPr>
        <w:t>中标人</w:t>
      </w:r>
      <w:r>
        <w:rPr>
          <w:rFonts w:hint="eastAsia" w:ascii="仿宋" w:hAnsi="仿宋" w:eastAsia="仿宋" w:cs="仿宋"/>
          <w:color w:val="auto"/>
          <w:kern w:val="0"/>
          <w:sz w:val="24"/>
          <w:szCs w:val="24"/>
          <w:highlight w:val="none"/>
        </w:rPr>
        <w:t>免费提供对采购人使用人员的培训，保证采购人能正确使用艇，并达到掌握日常保养和维护的技能，招标文件中需明确具体培训内容，并列明培训人数、时间及达到的效果。</w:t>
      </w:r>
    </w:p>
    <w:p>
      <w:pPr>
        <w:spacing w:line="52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四、交货时间、地点</w:t>
      </w:r>
    </w:p>
    <w:p>
      <w:pPr>
        <w:spacing w:line="52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1.交货时间：合同签订之日起</w:t>
      </w:r>
      <w:r>
        <w:rPr>
          <w:rFonts w:hint="eastAsia" w:ascii="仿宋" w:hAnsi="仿宋" w:eastAsia="仿宋" w:cs="仿宋"/>
          <w:color w:val="auto"/>
          <w:sz w:val="24"/>
          <w:szCs w:val="24"/>
          <w:highlight w:val="none"/>
          <w:lang w:val="en-US" w:eastAsia="zh-CN"/>
        </w:rPr>
        <w:t>100</w:t>
      </w:r>
      <w:r>
        <w:rPr>
          <w:rFonts w:hint="eastAsia" w:ascii="仿宋" w:hAnsi="仿宋" w:eastAsia="仿宋" w:cs="仿宋"/>
          <w:color w:val="auto"/>
          <w:sz w:val="24"/>
          <w:szCs w:val="24"/>
          <w:highlight w:val="none"/>
        </w:rPr>
        <w:t>日历天内完成船艇设计、报批、建造、配套安装、交货、试航及验收，并且提供船舶检验证书和其他应提供的相关材料</w:t>
      </w:r>
      <w:r>
        <w:rPr>
          <w:rFonts w:hint="eastAsia" w:ascii="仿宋" w:hAnsi="仿宋" w:eastAsia="仿宋" w:cs="仿宋"/>
          <w:color w:val="auto"/>
          <w:sz w:val="24"/>
          <w:szCs w:val="24"/>
          <w:highlight w:val="none"/>
          <w:lang w:eastAsia="zh-CN"/>
        </w:rPr>
        <w:t>。</w:t>
      </w:r>
    </w:p>
    <w:p>
      <w:pPr>
        <w:spacing w:line="52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2.交货地点：</w:t>
      </w:r>
      <w:r>
        <w:rPr>
          <w:rFonts w:hint="eastAsia" w:ascii="仿宋" w:hAnsi="仿宋" w:eastAsia="仿宋" w:cs="仿宋"/>
          <w:color w:val="auto"/>
          <w:sz w:val="24"/>
          <w:highlight w:val="none"/>
        </w:rPr>
        <w:t>淳安县境内（采购人指定位置）</w:t>
      </w:r>
      <w:r>
        <w:rPr>
          <w:rFonts w:hint="eastAsia" w:ascii="仿宋" w:hAnsi="仿宋" w:eastAsia="仿宋" w:cs="仿宋"/>
          <w:color w:val="auto"/>
          <w:sz w:val="24"/>
          <w:szCs w:val="24"/>
          <w:highlight w:val="none"/>
        </w:rPr>
        <w:t>。</w:t>
      </w:r>
    </w:p>
    <w:p>
      <w:pPr>
        <w:spacing w:line="520" w:lineRule="exact"/>
        <w:ind w:firstLine="281" w:firstLineChars="100"/>
        <w:rPr>
          <w:rStyle w:val="327"/>
          <w:rFonts w:hint="eastAsia" w:ascii="仿宋" w:hAnsi="仿宋" w:eastAsia="仿宋" w:cs="仿宋"/>
          <w:color w:val="auto"/>
          <w:highlight w:val="none"/>
          <w:lang w:val="en-US" w:eastAsia="zh-CN"/>
        </w:rPr>
      </w:pPr>
      <w:r>
        <w:rPr>
          <w:rStyle w:val="327"/>
          <w:rFonts w:hint="eastAsia" w:ascii="仿宋" w:hAnsi="仿宋" w:eastAsia="仿宋" w:cs="仿宋"/>
          <w:color w:val="auto"/>
          <w:highlight w:val="none"/>
          <w:lang w:val="en-US" w:eastAsia="zh-CN"/>
        </w:rPr>
        <w:t>五、付款方式：</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合同签订后7天内支付合同总价40%预付款；船体建造完成后并通过建造地船检部门完成各项试验试航，检验合格并交付后，支付合同价的55％。</w:t>
      </w:r>
      <w:r>
        <w:rPr>
          <w:rFonts w:hint="eastAsia" w:ascii="仿宋" w:hAnsi="仿宋" w:eastAsia="仿宋" w:cs="仿宋"/>
          <w:color w:val="auto"/>
          <w:sz w:val="24"/>
          <w:highlight w:val="none"/>
          <w:lang w:eastAsia="zh-CN"/>
        </w:rPr>
        <w:t>剩余合同款的5%待中标方承诺的质保期满无质量问题</w:t>
      </w:r>
      <w:r>
        <w:rPr>
          <w:rFonts w:hint="eastAsia" w:ascii="仿宋" w:hAnsi="仿宋" w:eastAsia="仿宋" w:cs="仿宋"/>
          <w:color w:val="auto"/>
          <w:sz w:val="24"/>
          <w:highlight w:val="none"/>
          <w:lang w:val="en-US" w:eastAsia="zh-CN"/>
        </w:rPr>
        <w:t>后</w:t>
      </w:r>
      <w:r>
        <w:rPr>
          <w:rFonts w:hint="eastAsia" w:ascii="仿宋" w:hAnsi="仿宋" w:eastAsia="仿宋" w:cs="仿宋"/>
          <w:color w:val="auto"/>
          <w:sz w:val="24"/>
          <w:highlight w:val="none"/>
          <w:lang w:eastAsia="zh-CN"/>
        </w:rPr>
        <w:t>支付（无息）。</w:t>
      </w:r>
    </w:p>
    <w:p>
      <w:pPr>
        <w:pStyle w:val="61"/>
        <w:rPr>
          <w:rFonts w:hint="eastAsia" w:ascii="仿宋" w:hAnsi="仿宋" w:eastAsia="仿宋" w:cs="仿宋"/>
        </w:rPr>
      </w:pPr>
    </w:p>
    <w:p>
      <w:pPr>
        <w:pStyle w:val="26"/>
        <w:rPr>
          <w:rFonts w:hint="eastAsia" w:ascii="仿宋" w:hAnsi="仿宋" w:eastAsia="仿宋" w:cs="仿宋"/>
          <w:b/>
          <w:sz w:val="36"/>
          <w:szCs w:val="36"/>
        </w:rPr>
      </w:pPr>
    </w:p>
    <w:p>
      <w:pPr>
        <w:rPr>
          <w:rFonts w:hint="eastAsia" w:ascii="仿宋" w:hAnsi="仿宋" w:eastAsia="仿宋" w:cs="仿宋"/>
          <w:b/>
          <w:sz w:val="36"/>
          <w:szCs w:val="36"/>
        </w:rPr>
      </w:pPr>
    </w:p>
    <w:p>
      <w:pPr>
        <w:pStyle w:val="24"/>
        <w:rPr>
          <w:rFonts w:hint="eastAsia" w:ascii="仿宋" w:hAnsi="仿宋" w:eastAsia="仿宋" w:cs="仿宋"/>
          <w:b/>
          <w:sz w:val="36"/>
          <w:szCs w:val="36"/>
        </w:rPr>
      </w:pPr>
    </w:p>
    <w:p>
      <w:pPr>
        <w:pStyle w:val="25"/>
        <w:rPr>
          <w:rFonts w:hint="eastAsia" w:ascii="仿宋" w:hAnsi="仿宋" w:eastAsia="仿宋" w:cs="仿宋"/>
          <w:b/>
          <w:sz w:val="36"/>
          <w:szCs w:val="36"/>
        </w:rPr>
      </w:pPr>
    </w:p>
    <w:p>
      <w:pPr>
        <w:pStyle w:val="26"/>
        <w:rPr>
          <w:rFonts w:hint="eastAsia" w:ascii="仿宋" w:hAnsi="仿宋" w:eastAsia="仿宋" w:cs="仿宋"/>
          <w:b/>
          <w:sz w:val="36"/>
          <w:szCs w:val="36"/>
        </w:rPr>
      </w:pPr>
    </w:p>
    <w:p>
      <w:pPr>
        <w:rPr>
          <w:rFonts w:hint="eastAsia" w:ascii="仿宋" w:hAnsi="仿宋" w:eastAsia="仿宋" w:cs="仿宋"/>
          <w:b/>
          <w:sz w:val="36"/>
          <w:szCs w:val="36"/>
        </w:rPr>
      </w:pPr>
    </w:p>
    <w:p>
      <w:pPr>
        <w:pStyle w:val="79"/>
        <w:rPr>
          <w:rFonts w:hint="eastAsia" w:ascii="仿宋" w:hAnsi="仿宋" w:eastAsia="仿宋" w:cs="仿宋"/>
          <w:b/>
          <w:sz w:val="36"/>
          <w:szCs w:val="36"/>
        </w:rPr>
      </w:pPr>
    </w:p>
    <w:p>
      <w:pPr>
        <w:pStyle w:val="79"/>
        <w:rPr>
          <w:rFonts w:hint="eastAsia" w:ascii="仿宋" w:hAnsi="仿宋" w:eastAsia="仿宋" w:cs="仿宋"/>
          <w:b/>
          <w:sz w:val="36"/>
          <w:szCs w:val="36"/>
        </w:rPr>
      </w:pPr>
    </w:p>
    <w:p>
      <w:pPr>
        <w:pStyle w:val="79"/>
        <w:rPr>
          <w:rFonts w:hint="eastAsia" w:ascii="仿宋" w:hAnsi="仿宋" w:eastAsia="仿宋" w:cs="仿宋"/>
          <w:b/>
          <w:sz w:val="36"/>
          <w:szCs w:val="36"/>
        </w:rPr>
      </w:pPr>
    </w:p>
    <w:p>
      <w:pPr>
        <w:pStyle w:val="26"/>
        <w:rPr>
          <w:rFonts w:hint="eastAsia" w:ascii="仿宋" w:hAnsi="仿宋" w:eastAsia="仿宋" w:cs="仿宋"/>
        </w:rPr>
      </w:pPr>
    </w:p>
    <w:p>
      <w:pPr>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30" w:name="_Toc184310344"/>
      <w:bookmarkEnd w:id="30"/>
      <w:bookmarkStart w:id="31" w:name="_Toc184312123"/>
      <w:bookmarkEnd w:id="31"/>
      <w:bookmarkStart w:id="32" w:name="_Toc184312139"/>
      <w:bookmarkEnd w:id="32"/>
      <w:bookmarkStart w:id="33" w:name="_Toc184312084"/>
      <w:bookmarkEnd w:id="33"/>
      <w:bookmarkStart w:id="34" w:name="_Toc184312104"/>
      <w:bookmarkEnd w:id="34"/>
      <w:bookmarkStart w:id="35" w:name="_Toc184308042"/>
      <w:bookmarkEnd w:id="35"/>
      <w:bookmarkStart w:id="36" w:name="_Toc184314472"/>
      <w:bookmarkEnd w:id="36"/>
      <w:bookmarkStart w:id="37" w:name="_Toc184312077"/>
      <w:bookmarkEnd w:id="37"/>
      <w:bookmarkStart w:id="38" w:name="_Toc184313261"/>
      <w:bookmarkEnd w:id="38"/>
      <w:bookmarkStart w:id="39" w:name="_Toc184313284"/>
      <w:bookmarkEnd w:id="39"/>
      <w:bookmarkStart w:id="40" w:name="_Toc184313252"/>
      <w:bookmarkEnd w:id="40"/>
      <w:bookmarkStart w:id="41" w:name="_Toc184313246"/>
      <w:bookmarkEnd w:id="41"/>
      <w:bookmarkStart w:id="42" w:name="_Toc184308101"/>
      <w:bookmarkEnd w:id="42"/>
      <w:bookmarkStart w:id="43" w:name="_Toc184308079"/>
      <w:bookmarkEnd w:id="43"/>
      <w:bookmarkStart w:id="44" w:name="_Toc184313259"/>
      <w:bookmarkEnd w:id="44"/>
      <w:bookmarkStart w:id="45" w:name="_Toc184312078"/>
      <w:bookmarkEnd w:id="45"/>
      <w:bookmarkStart w:id="46" w:name="_Toc184314471"/>
      <w:bookmarkEnd w:id="46"/>
      <w:bookmarkStart w:id="47" w:name="_Toc184313309"/>
      <w:bookmarkEnd w:id="47"/>
      <w:bookmarkStart w:id="48" w:name="_Toc184310320"/>
      <w:bookmarkEnd w:id="48"/>
      <w:bookmarkStart w:id="49" w:name="_Toc184314441"/>
      <w:bookmarkEnd w:id="49"/>
      <w:bookmarkStart w:id="50" w:name="_Toc184310335"/>
      <w:bookmarkEnd w:id="50"/>
      <w:bookmarkStart w:id="51" w:name="_Toc184310337"/>
      <w:bookmarkEnd w:id="51"/>
      <w:bookmarkStart w:id="52" w:name="_Toc184312101"/>
      <w:bookmarkEnd w:id="52"/>
      <w:bookmarkStart w:id="53" w:name="_Toc184314420"/>
      <w:bookmarkEnd w:id="53"/>
      <w:bookmarkStart w:id="54" w:name="_Toc184314411"/>
      <w:bookmarkEnd w:id="54"/>
      <w:bookmarkStart w:id="55" w:name="_Toc184310284"/>
      <w:bookmarkEnd w:id="55"/>
      <w:bookmarkStart w:id="56" w:name="_Toc184310301"/>
      <w:bookmarkEnd w:id="56"/>
      <w:bookmarkStart w:id="57" w:name="_Toc184312108"/>
      <w:bookmarkEnd w:id="57"/>
      <w:bookmarkStart w:id="58" w:name="_Toc184310343"/>
      <w:bookmarkEnd w:id="58"/>
      <w:bookmarkStart w:id="59" w:name="_Toc184310292"/>
      <w:bookmarkEnd w:id="59"/>
      <w:bookmarkStart w:id="60" w:name="_Toc184310316"/>
      <w:bookmarkEnd w:id="60"/>
      <w:bookmarkStart w:id="61" w:name="_Toc184310333"/>
      <w:bookmarkEnd w:id="61"/>
      <w:bookmarkStart w:id="62" w:name="_Toc184308086"/>
      <w:bookmarkEnd w:id="62"/>
      <w:bookmarkStart w:id="63" w:name="_Toc184314456"/>
      <w:bookmarkEnd w:id="63"/>
      <w:bookmarkStart w:id="64" w:name="_Toc184313307"/>
      <w:bookmarkEnd w:id="64"/>
      <w:bookmarkStart w:id="65" w:name="_Toc184314477"/>
      <w:bookmarkEnd w:id="65"/>
      <w:bookmarkStart w:id="66" w:name="_Toc184314474"/>
      <w:bookmarkEnd w:id="66"/>
      <w:bookmarkStart w:id="67" w:name="_Toc184310297"/>
      <w:bookmarkEnd w:id="67"/>
      <w:bookmarkStart w:id="68" w:name="_Toc184313301"/>
      <w:bookmarkEnd w:id="68"/>
      <w:bookmarkStart w:id="69" w:name="_Toc184310299"/>
      <w:bookmarkEnd w:id="69"/>
      <w:bookmarkStart w:id="70" w:name="_Toc184314459"/>
      <w:bookmarkEnd w:id="70"/>
      <w:bookmarkStart w:id="71" w:name="_Toc184312135"/>
      <w:bookmarkEnd w:id="71"/>
      <w:bookmarkStart w:id="72" w:name="_Toc184314479"/>
      <w:bookmarkEnd w:id="72"/>
      <w:bookmarkStart w:id="73" w:name="_Toc184313239"/>
      <w:bookmarkEnd w:id="73"/>
      <w:bookmarkStart w:id="74" w:name="_Toc184310306"/>
      <w:bookmarkEnd w:id="74"/>
      <w:bookmarkStart w:id="75" w:name="_Toc184314429"/>
      <w:bookmarkEnd w:id="75"/>
      <w:bookmarkStart w:id="76" w:name="_Toc184314417"/>
      <w:bookmarkEnd w:id="76"/>
      <w:bookmarkStart w:id="77" w:name="_Toc184310278"/>
      <w:bookmarkEnd w:id="77"/>
      <w:bookmarkStart w:id="78" w:name="_Toc184310285"/>
      <w:bookmarkEnd w:id="78"/>
      <w:bookmarkStart w:id="79" w:name="_Toc184312121"/>
      <w:bookmarkEnd w:id="79"/>
      <w:bookmarkStart w:id="80" w:name="_Toc184313280"/>
      <w:bookmarkEnd w:id="80"/>
      <w:bookmarkStart w:id="81" w:name="_Toc184313303"/>
      <w:bookmarkEnd w:id="81"/>
      <w:bookmarkStart w:id="82" w:name="_Toc184308091"/>
      <w:bookmarkEnd w:id="82"/>
      <w:bookmarkStart w:id="83" w:name="_Toc184310303"/>
      <w:bookmarkEnd w:id="83"/>
      <w:bookmarkStart w:id="84" w:name="_Toc184312085"/>
      <w:bookmarkEnd w:id="84"/>
      <w:bookmarkStart w:id="85" w:name="_Toc184314415"/>
      <w:bookmarkEnd w:id="85"/>
      <w:bookmarkStart w:id="86" w:name="_Toc184308053"/>
      <w:bookmarkEnd w:id="86"/>
      <w:bookmarkStart w:id="87" w:name="_Toc184308045"/>
      <w:bookmarkEnd w:id="87"/>
      <w:bookmarkStart w:id="88" w:name="_Toc184310279"/>
      <w:bookmarkEnd w:id="88"/>
      <w:bookmarkStart w:id="89" w:name="_Toc184313266"/>
      <w:bookmarkEnd w:id="89"/>
      <w:bookmarkStart w:id="90" w:name="_Toc184313306"/>
      <w:bookmarkEnd w:id="90"/>
      <w:bookmarkStart w:id="91" w:name="_Toc184313288"/>
      <w:bookmarkEnd w:id="91"/>
      <w:bookmarkStart w:id="92" w:name="_Toc184314439"/>
      <w:bookmarkEnd w:id="92"/>
      <w:bookmarkStart w:id="93" w:name="_Toc184313289"/>
      <w:bookmarkEnd w:id="93"/>
      <w:bookmarkStart w:id="94" w:name="_Toc184312103"/>
      <w:bookmarkEnd w:id="94"/>
      <w:bookmarkStart w:id="95" w:name="_Toc184308038"/>
      <w:bookmarkEnd w:id="95"/>
      <w:bookmarkStart w:id="96" w:name="_Toc184314413"/>
      <w:bookmarkEnd w:id="96"/>
      <w:bookmarkStart w:id="97" w:name="_Toc184314438"/>
      <w:bookmarkEnd w:id="97"/>
      <w:bookmarkStart w:id="98" w:name="_Toc184312086"/>
      <w:bookmarkEnd w:id="98"/>
      <w:bookmarkStart w:id="99" w:name="_Toc184312069"/>
      <w:bookmarkEnd w:id="99"/>
      <w:bookmarkStart w:id="100" w:name="_Toc184314444"/>
      <w:bookmarkEnd w:id="100"/>
      <w:bookmarkStart w:id="101" w:name="_Toc184313277"/>
      <w:bookmarkEnd w:id="101"/>
      <w:bookmarkStart w:id="102" w:name="_Toc184308056"/>
      <w:bookmarkEnd w:id="102"/>
      <w:bookmarkStart w:id="103" w:name="_Toc184308046"/>
      <w:bookmarkEnd w:id="103"/>
      <w:bookmarkStart w:id="104" w:name="_Toc184310289"/>
      <w:bookmarkEnd w:id="104"/>
      <w:bookmarkStart w:id="105" w:name="_Toc184312072"/>
      <w:bookmarkEnd w:id="105"/>
      <w:bookmarkStart w:id="106" w:name="_Toc184310329"/>
      <w:bookmarkEnd w:id="106"/>
      <w:bookmarkStart w:id="107" w:name="_Toc184312091"/>
      <w:bookmarkEnd w:id="107"/>
      <w:bookmarkStart w:id="108" w:name="_Toc184313292"/>
      <w:bookmarkEnd w:id="108"/>
      <w:bookmarkStart w:id="109" w:name="_Toc184314412"/>
      <w:bookmarkEnd w:id="109"/>
      <w:bookmarkStart w:id="110" w:name="_Toc184310331"/>
      <w:bookmarkEnd w:id="110"/>
      <w:bookmarkStart w:id="111" w:name="_Toc184308106"/>
      <w:bookmarkEnd w:id="111"/>
      <w:bookmarkStart w:id="112" w:name="_Toc184314453"/>
      <w:bookmarkEnd w:id="112"/>
      <w:bookmarkStart w:id="113" w:name="_Toc184313262"/>
      <w:bookmarkEnd w:id="113"/>
      <w:bookmarkStart w:id="114" w:name="_Toc184308044"/>
      <w:bookmarkEnd w:id="114"/>
      <w:bookmarkStart w:id="115" w:name="_Toc184313273"/>
      <w:bookmarkEnd w:id="115"/>
      <w:bookmarkStart w:id="116" w:name="_Toc184313275"/>
      <w:bookmarkEnd w:id="116"/>
      <w:bookmarkStart w:id="117" w:name="_Toc184312109"/>
      <w:bookmarkEnd w:id="117"/>
      <w:bookmarkStart w:id="118" w:name="_Toc184313282"/>
      <w:bookmarkEnd w:id="118"/>
      <w:bookmarkStart w:id="119" w:name="_Toc184310296"/>
      <w:bookmarkEnd w:id="119"/>
      <w:bookmarkStart w:id="120" w:name="_Toc184314463"/>
      <w:bookmarkEnd w:id="120"/>
      <w:bookmarkStart w:id="121" w:name="_Toc184310300"/>
      <w:bookmarkEnd w:id="121"/>
      <w:bookmarkStart w:id="122" w:name="_Toc184314433"/>
      <w:bookmarkEnd w:id="122"/>
      <w:bookmarkStart w:id="123" w:name="_Toc184313249"/>
      <w:bookmarkEnd w:id="123"/>
      <w:bookmarkStart w:id="124" w:name="_Toc184312073"/>
      <w:bookmarkEnd w:id="124"/>
      <w:bookmarkStart w:id="125" w:name="_Toc184312134"/>
      <w:bookmarkEnd w:id="125"/>
      <w:bookmarkStart w:id="126" w:name="_Toc184314440"/>
      <w:bookmarkEnd w:id="126"/>
      <w:bookmarkStart w:id="127" w:name="_Toc184310314"/>
      <w:bookmarkEnd w:id="127"/>
      <w:bookmarkStart w:id="128" w:name="_Toc184312099"/>
      <w:bookmarkEnd w:id="128"/>
      <w:bookmarkStart w:id="129" w:name="_Toc184308074"/>
      <w:bookmarkEnd w:id="129"/>
      <w:bookmarkStart w:id="130" w:name="_Toc184308075"/>
      <w:bookmarkEnd w:id="130"/>
      <w:bookmarkStart w:id="131" w:name="_Toc184313305"/>
      <w:bookmarkEnd w:id="131"/>
      <w:bookmarkStart w:id="132" w:name="_Toc184308108"/>
      <w:bookmarkEnd w:id="132"/>
      <w:bookmarkStart w:id="133" w:name="_Toc184313267"/>
      <w:bookmarkEnd w:id="133"/>
      <w:bookmarkStart w:id="134" w:name="_Toc184310315"/>
      <w:bookmarkEnd w:id="134"/>
      <w:bookmarkStart w:id="135" w:name="_Toc184312110"/>
      <w:bookmarkEnd w:id="135"/>
      <w:bookmarkStart w:id="136" w:name="_Toc184314470"/>
      <w:bookmarkEnd w:id="136"/>
      <w:bookmarkStart w:id="137" w:name="_Toc184308055"/>
      <w:bookmarkEnd w:id="137"/>
      <w:bookmarkStart w:id="138" w:name="_Toc184308090"/>
      <w:bookmarkEnd w:id="138"/>
      <w:bookmarkStart w:id="139" w:name="_Toc184313281"/>
      <w:bookmarkEnd w:id="139"/>
      <w:bookmarkStart w:id="140" w:name="_Toc184312095"/>
      <w:bookmarkEnd w:id="140"/>
      <w:bookmarkStart w:id="141" w:name="_Toc184313265"/>
      <w:bookmarkEnd w:id="141"/>
      <w:bookmarkStart w:id="142" w:name="_Toc184312092"/>
      <w:bookmarkEnd w:id="142"/>
      <w:bookmarkStart w:id="143" w:name="_Toc184312082"/>
      <w:bookmarkEnd w:id="143"/>
      <w:bookmarkStart w:id="144" w:name="_Toc184310311"/>
      <w:bookmarkEnd w:id="144"/>
      <w:bookmarkStart w:id="145" w:name="_Toc184310339"/>
      <w:bookmarkEnd w:id="145"/>
      <w:bookmarkStart w:id="146" w:name="_Toc184308107"/>
      <w:bookmarkEnd w:id="146"/>
      <w:bookmarkStart w:id="147" w:name="_Toc184308036"/>
      <w:bookmarkEnd w:id="147"/>
      <w:bookmarkStart w:id="148" w:name="_Toc184308071"/>
      <w:bookmarkEnd w:id="148"/>
      <w:bookmarkStart w:id="149" w:name="_Toc184312124"/>
      <w:bookmarkEnd w:id="149"/>
      <w:bookmarkStart w:id="150" w:name="_Toc184312094"/>
      <w:bookmarkEnd w:id="150"/>
      <w:bookmarkStart w:id="151" w:name="_Toc184314478"/>
      <w:bookmarkEnd w:id="151"/>
      <w:bookmarkStart w:id="152" w:name="_Toc184308097"/>
      <w:bookmarkEnd w:id="152"/>
      <w:bookmarkStart w:id="153" w:name="_Toc184314442"/>
      <w:bookmarkEnd w:id="153"/>
      <w:bookmarkStart w:id="154" w:name="_Toc184308041"/>
      <w:bookmarkEnd w:id="154"/>
      <w:bookmarkStart w:id="155" w:name="_Toc184313294"/>
      <w:bookmarkEnd w:id="155"/>
      <w:bookmarkStart w:id="156" w:name="_Toc184308076"/>
      <w:bookmarkEnd w:id="156"/>
      <w:bookmarkStart w:id="157" w:name="_Toc184310287"/>
      <w:bookmarkEnd w:id="157"/>
      <w:bookmarkStart w:id="158" w:name="_Toc184308096"/>
      <w:bookmarkEnd w:id="158"/>
      <w:bookmarkStart w:id="159" w:name="_Toc184308093"/>
      <w:bookmarkEnd w:id="159"/>
      <w:bookmarkStart w:id="160" w:name="_Toc184308105"/>
      <w:bookmarkEnd w:id="160"/>
      <w:bookmarkStart w:id="161" w:name="_Toc184308078"/>
      <w:bookmarkEnd w:id="161"/>
      <w:bookmarkStart w:id="162" w:name="_Toc184312120"/>
      <w:bookmarkEnd w:id="162"/>
      <w:bookmarkStart w:id="163" w:name="_Toc184313245"/>
      <w:bookmarkEnd w:id="163"/>
      <w:bookmarkStart w:id="164" w:name="_Toc184314461"/>
      <w:bookmarkEnd w:id="164"/>
      <w:bookmarkStart w:id="165" w:name="_Toc184313296"/>
      <w:bookmarkEnd w:id="165"/>
      <w:bookmarkStart w:id="166" w:name="_Toc184314454"/>
      <w:bookmarkEnd w:id="166"/>
      <w:bookmarkStart w:id="167" w:name="_Toc184314448"/>
      <w:bookmarkEnd w:id="167"/>
      <w:bookmarkStart w:id="168" w:name="_Toc184314482"/>
      <w:bookmarkEnd w:id="168"/>
      <w:bookmarkStart w:id="169" w:name="_Toc184312105"/>
      <w:bookmarkEnd w:id="169"/>
      <w:bookmarkStart w:id="170" w:name="_Toc184310286"/>
      <w:bookmarkEnd w:id="170"/>
      <w:bookmarkStart w:id="171" w:name="_Toc184313238"/>
      <w:bookmarkEnd w:id="171"/>
      <w:bookmarkStart w:id="172" w:name="_Toc184310305"/>
      <w:bookmarkEnd w:id="172"/>
      <w:bookmarkStart w:id="173" w:name="_Toc184312067"/>
      <w:bookmarkEnd w:id="173"/>
      <w:bookmarkStart w:id="174" w:name="_Toc184313248"/>
      <w:bookmarkEnd w:id="174"/>
      <w:bookmarkStart w:id="175" w:name="_Toc184312107"/>
      <w:bookmarkEnd w:id="175"/>
      <w:bookmarkStart w:id="176" w:name="_Toc184310326"/>
      <w:bookmarkEnd w:id="176"/>
      <w:bookmarkStart w:id="177" w:name="_Toc184308073"/>
      <w:bookmarkEnd w:id="177"/>
      <w:bookmarkStart w:id="178" w:name="_Toc184310273"/>
      <w:bookmarkEnd w:id="178"/>
      <w:bookmarkStart w:id="179" w:name="_Toc184312075"/>
      <w:bookmarkEnd w:id="179"/>
      <w:bookmarkStart w:id="180" w:name="_Toc184310276"/>
      <w:bookmarkEnd w:id="180"/>
      <w:bookmarkStart w:id="181" w:name="_Toc184308037"/>
      <w:bookmarkEnd w:id="181"/>
      <w:bookmarkStart w:id="182" w:name="_Toc184310295"/>
      <w:bookmarkEnd w:id="182"/>
      <w:bookmarkStart w:id="183" w:name="_Toc184314416"/>
      <w:bookmarkEnd w:id="183"/>
      <w:bookmarkStart w:id="184" w:name="_Toc184313256"/>
      <w:bookmarkEnd w:id="184"/>
      <w:bookmarkStart w:id="185" w:name="_Toc184314447"/>
      <w:bookmarkEnd w:id="185"/>
      <w:bookmarkStart w:id="186" w:name="_Toc184314457"/>
      <w:bookmarkEnd w:id="186"/>
      <w:bookmarkStart w:id="187" w:name="_Toc184314460"/>
      <w:bookmarkEnd w:id="187"/>
      <w:bookmarkStart w:id="188" w:name="_Toc184310338"/>
      <w:bookmarkEnd w:id="188"/>
      <w:bookmarkStart w:id="189" w:name="_Toc184312119"/>
      <w:bookmarkEnd w:id="189"/>
      <w:bookmarkStart w:id="190" w:name="_Toc184308094"/>
      <w:bookmarkEnd w:id="190"/>
      <w:bookmarkStart w:id="191" w:name="_Toc184312122"/>
      <w:bookmarkEnd w:id="191"/>
      <w:bookmarkStart w:id="192" w:name="_Toc184314458"/>
      <w:bookmarkEnd w:id="192"/>
      <w:bookmarkStart w:id="193" w:name="_Toc184310328"/>
      <w:bookmarkEnd w:id="193"/>
      <w:bookmarkStart w:id="194" w:name="_Toc184314465"/>
      <w:bookmarkEnd w:id="194"/>
      <w:bookmarkStart w:id="195" w:name="_Toc184313299"/>
      <w:bookmarkEnd w:id="195"/>
      <w:bookmarkStart w:id="196" w:name="_Toc184308065"/>
      <w:bookmarkEnd w:id="196"/>
      <w:bookmarkStart w:id="197" w:name="_Toc184313268"/>
      <w:bookmarkEnd w:id="197"/>
      <w:bookmarkStart w:id="198" w:name="_Toc184314450"/>
      <w:bookmarkEnd w:id="198"/>
      <w:bookmarkStart w:id="199" w:name="_Toc184308083"/>
      <w:bookmarkEnd w:id="199"/>
      <w:bookmarkStart w:id="200" w:name="_Toc184308103"/>
      <w:bookmarkEnd w:id="200"/>
      <w:bookmarkStart w:id="201" w:name="_Toc184314473"/>
      <w:bookmarkEnd w:id="201"/>
      <w:bookmarkStart w:id="202" w:name="_Toc184314455"/>
      <w:bookmarkEnd w:id="202"/>
      <w:bookmarkStart w:id="203" w:name="_Toc184308043"/>
      <w:bookmarkEnd w:id="203"/>
      <w:bookmarkStart w:id="204" w:name="_Toc184308089"/>
      <w:bookmarkEnd w:id="204"/>
      <w:bookmarkStart w:id="205" w:name="_Toc184310275"/>
      <w:bookmarkEnd w:id="205"/>
      <w:bookmarkStart w:id="206" w:name="_Toc184313263"/>
      <w:bookmarkEnd w:id="206"/>
      <w:bookmarkStart w:id="207" w:name="_Toc184314434"/>
      <w:bookmarkEnd w:id="207"/>
      <w:bookmarkStart w:id="208" w:name="_Toc184308049"/>
      <w:bookmarkEnd w:id="208"/>
      <w:bookmarkStart w:id="209" w:name="_Toc184314435"/>
      <w:bookmarkEnd w:id="209"/>
      <w:bookmarkStart w:id="210" w:name="_Toc184313304"/>
      <w:bookmarkEnd w:id="210"/>
      <w:bookmarkStart w:id="211" w:name="_Toc184310325"/>
      <w:bookmarkEnd w:id="211"/>
      <w:bookmarkStart w:id="212" w:name="_Toc184308062"/>
      <w:bookmarkEnd w:id="212"/>
      <w:bookmarkStart w:id="213" w:name="_Toc184314432"/>
      <w:bookmarkEnd w:id="213"/>
      <w:bookmarkStart w:id="214" w:name="_Toc184312068"/>
      <w:bookmarkEnd w:id="214"/>
      <w:bookmarkStart w:id="215" w:name="_Toc184312083"/>
      <w:bookmarkEnd w:id="215"/>
      <w:bookmarkStart w:id="216" w:name="_Toc184314421"/>
      <w:bookmarkEnd w:id="216"/>
      <w:bookmarkStart w:id="217" w:name="_Toc184312132"/>
      <w:bookmarkEnd w:id="217"/>
      <w:bookmarkStart w:id="218" w:name="_Toc184312097"/>
      <w:bookmarkEnd w:id="218"/>
      <w:bookmarkStart w:id="219" w:name="_Toc184313310"/>
      <w:bookmarkEnd w:id="219"/>
      <w:bookmarkStart w:id="220" w:name="_Toc184314462"/>
      <w:bookmarkEnd w:id="220"/>
      <w:bookmarkStart w:id="221" w:name="_Toc184310290"/>
      <w:bookmarkEnd w:id="221"/>
      <w:bookmarkStart w:id="222" w:name="_Toc184313247"/>
      <w:bookmarkEnd w:id="222"/>
      <w:bookmarkStart w:id="223" w:name="_Toc184310321"/>
      <w:bookmarkEnd w:id="223"/>
      <w:bookmarkStart w:id="224" w:name="_Toc184313242"/>
      <w:bookmarkEnd w:id="224"/>
      <w:bookmarkStart w:id="225" w:name="_Toc184308063"/>
      <w:bookmarkEnd w:id="225"/>
      <w:bookmarkStart w:id="226" w:name="_Toc184314436"/>
      <w:bookmarkEnd w:id="226"/>
      <w:bookmarkStart w:id="227" w:name="_Toc184310324"/>
      <w:bookmarkEnd w:id="227"/>
      <w:bookmarkStart w:id="228" w:name="_Toc184310298"/>
      <w:bookmarkEnd w:id="228"/>
      <w:bookmarkStart w:id="229" w:name="_Toc184314468"/>
      <w:bookmarkEnd w:id="229"/>
      <w:bookmarkStart w:id="230" w:name="_Toc184310293"/>
      <w:bookmarkEnd w:id="230"/>
      <w:bookmarkStart w:id="231" w:name="_Toc184312136"/>
      <w:bookmarkEnd w:id="231"/>
      <w:bookmarkStart w:id="232" w:name="_Toc184312131"/>
      <w:bookmarkEnd w:id="232"/>
      <w:bookmarkStart w:id="233" w:name="_Toc184308040"/>
      <w:bookmarkEnd w:id="233"/>
      <w:bookmarkStart w:id="234" w:name="_Toc184313302"/>
      <w:bookmarkEnd w:id="234"/>
      <w:bookmarkStart w:id="235" w:name="_Toc184308061"/>
      <w:bookmarkEnd w:id="235"/>
      <w:bookmarkStart w:id="236" w:name="_Toc184314443"/>
      <w:bookmarkEnd w:id="236"/>
      <w:bookmarkStart w:id="237" w:name="_Toc184308058"/>
      <w:bookmarkEnd w:id="237"/>
      <w:bookmarkStart w:id="238" w:name="_Toc184314422"/>
      <w:bookmarkEnd w:id="238"/>
      <w:bookmarkStart w:id="239" w:name="_Toc184314466"/>
      <w:bookmarkEnd w:id="239"/>
      <w:bookmarkStart w:id="240" w:name="_Toc184314467"/>
      <w:bookmarkEnd w:id="240"/>
      <w:bookmarkStart w:id="241" w:name="_Toc184312133"/>
      <w:bookmarkEnd w:id="241"/>
      <w:bookmarkStart w:id="242" w:name="_Toc184314469"/>
      <w:bookmarkEnd w:id="242"/>
      <w:bookmarkStart w:id="243" w:name="_Toc184314446"/>
      <w:bookmarkEnd w:id="243"/>
      <w:bookmarkStart w:id="244" w:name="_Toc184310272"/>
      <w:bookmarkEnd w:id="244"/>
      <w:bookmarkStart w:id="245" w:name="_Toc184313278"/>
      <w:bookmarkEnd w:id="245"/>
      <w:bookmarkStart w:id="246" w:name="_Toc184308064"/>
      <w:bookmarkEnd w:id="246"/>
      <w:bookmarkStart w:id="247" w:name="_Toc184310327"/>
      <w:bookmarkEnd w:id="247"/>
      <w:bookmarkStart w:id="248" w:name="_Toc184313254"/>
      <w:bookmarkEnd w:id="248"/>
      <w:bookmarkStart w:id="249" w:name="_Toc184312076"/>
      <w:bookmarkEnd w:id="249"/>
      <w:bookmarkStart w:id="250" w:name="_Toc184308051"/>
      <w:bookmarkEnd w:id="250"/>
      <w:bookmarkStart w:id="251" w:name="_Toc184312070"/>
      <w:bookmarkEnd w:id="251"/>
      <w:bookmarkStart w:id="252" w:name="_Toc184312130"/>
      <w:bookmarkEnd w:id="252"/>
      <w:bookmarkStart w:id="253" w:name="_Toc184314428"/>
      <w:bookmarkEnd w:id="253"/>
      <w:bookmarkStart w:id="254" w:name="_Toc184310291"/>
      <w:bookmarkEnd w:id="254"/>
      <w:bookmarkStart w:id="255" w:name="_Toc184312129"/>
      <w:bookmarkEnd w:id="255"/>
      <w:bookmarkStart w:id="256" w:name="_Toc184308054"/>
      <w:bookmarkEnd w:id="256"/>
      <w:bookmarkStart w:id="257" w:name="_Toc184314424"/>
      <w:bookmarkEnd w:id="257"/>
      <w:bookmarkStart w:id="258" w:name="_Toc184312098"/>
      <w:bookmarkEnd w:id="258"/>
      <w:bookmarkStart w:id="259" w:name="_Toc184313240"/>
      <w:bookmarkEnd w:id="259"/>
      <w:bookmarkStart w:id="260" w:name="_Toc184308099"/>
      <w:bookmarkEnd w:id="260"/>
      <w:bookmarkStart w:id="261" w:name="_Toc184310310"/>
      <w:bookmarkEnd w:id="261"/>
      <w:bookmarkStart w:id="262" w:name="_Toc184308047"/>
      <w:bookmarkEnd w:id="262"/>
      <w:bookmarkStart w:id="263" w:name="_Toc184312081"/>
      <w:bookmarkEnd w:id="263"/>
      <w:bookmarkStart w:id="264" w:name="_Toc184314431"/>
      <w:bookmarkEnd w:id="264"/>
      <w:bookmarkStart w:id="265" w:name="_Toc184312112"/>
      <w:bookmarkEnd w:id="265"/>
      <w:bookmarkStart w:id="266" w:name="_Toc184313241"/>
      <w:bookmarkEnd w:id="266"/>
      <w:bookmarkStart w:id="267" w:name="_Toc184308067"/>
      <w:bookmarkEnd w:id="267"/>
      <w:bookmarkStart w:id="268" w:name="_Toc184313251"/>
      <w:bookmarkEnd w:id="268"/>
      <w:bookmarkStart w:id="269" w:name="_Toc184310322"/>
      <w:bookmarkEnd w:id="269"/>
      <w:bookmarkStart w:id="270" w:name="_Toc184314414"/>
      <w:bookmarkEnd w:id="270"/>
      <w:bookmarkStart w:id="271" w:name="_Toc184313279"/>
      <w:bookmarkEnd w:id="271"/>
      <w:bookmarkStart w:id="272" w:name="_Toc184314449"/>
      <w:bookmarkEnd w:id="272"/>
      <w:bookmarkStart w:id="273" w:name="_Toc184310294"/>
      <w:bookmarkEnd w:id="273"/>
      <w:bookmarkStart w:id="274" w:name="_Toc184313271"/>
      <w:bookmarkEnd w:id="274"/>
      <w:bookmarkStart w:id="275" w:name="_Toc184308057"/>
      <w:bookmarkEnd w:id="275"/>
      <w:bookmarkStart w:id="276" w:name="_Toc184310323"/>
      <w:bookmarkEnd w:id="276"/>
      <w:bookmarkStart w:id="277" w:name="_Toc184310340"/>
      <w:bookmarkEnd w:id="277"/>
      <w:bookmarkStart w:id="278" w:name="_Toc184313270"/>
      <w:bookmarkEnd w:id="278"/>
      <w:bookmarkStart w:id="279" w:name="_Toc184310274"/>
      <w:bookmarkEnd w:id="279"/>
      <w:bookmarkStart w:id="280" w:name="_Toc184310334"/>
      <w:bookmarkEnd w:id="280"/>
      <w:bookmarkStart w:id="281" w:name="_Toc184312118"/>
      <w:bookmarkEnd w:id="281"/>
      <w:bookmarkStart w:id="282" w:name="_Toc184314423"/>
      <w:bookmarkEnd w:id="282"/>
      <w:bookmarkStart w:id="283" w:name="_Toc184310330"/>
      <w:bookmarkEnd w:id="283"/>
      <w:bookmarkStart w:id="284" w:name="_Toc184314476"/>
      <w:bookmarkEnd w:id="284"/>
      <w:bookmarkStart w:id="285" w:name="_Toc184310312"/>
      <w:bookmarkEnd w:id="285"/>
      <w:bookmarkStart w:id="286" w:name="_Toc184313260"/>
      <w:bookmarkEnd w:id="286"/>
      <w:bookmarkStart w:id="287" w:name="_Toc184308080"/>
      <w:bookmarkEnd w:id="287"/>
      <w:bookmarkStart w:id="288" w:name="_Toc184310307"/>
      <w:bookmarkEnd w:id="288"/>
      <w:bookmarkStart w:id="289" w:name="_Toc184313255"/>
      <w:bookmarkEnd w:id="289"/>
      <w:bookmarkStart w:id="290" w:name="_Toc184313291"/>
      <w:bookmarkEnd w:id="290"/>
      <w:bookmarkStart w:id="291" w:name="_Toc184313285"/>
      <w:bookmarkEnd w:id="291"/>
      <w:bookmarkStart w:id="292" w:name="_Toc184310308"/>
      <w:bookmarkEnd w:id="292"/>
      <w:bookmarkStart w:id="293" w:name="_Toc184308068"/>
      <w:bookmarkEnd w:id="293"/>
      <w:bookmarkStart w:id="294" w:name="_Toc184310283"/>
      <w:bookmarkEnd w:id="294"/>
      <w:bookmarkStart w:id="295" w:name="_Toc184314475"/>
      <w:bookmarkEnd w:id="295"/>
      <w:bookmarkStart w:id="296" w:name="_Toc184312087"/>
      <w:bookmarkEnd w:id="296"/>
      <w:bookmarkStart w:id="297" w:name="_Toc184313308"/>
      <w:bookmarkEnd w:id="297"/>
      <w:bookmarkStart w:id="298" w:name="_Toc184308048"/>
      <w:bookmarkEnd w:id="298"/>
      <w:bookmarkStart w:id="299" w:name="_Toc184310288"/>
      <w:bookmarkEnd w:id="299"/>
      <w:bookmarkStart w:id="300" w:name="_Toc184310277"/>
      <w:bookmarkEnd w:id="300"/>
      <w:bookmarkStart w:id="301" w:name="_Toc184308069"/>
      <w:bookmarkEnd w:id="301"/>
      <w:bookmarkStart w:id="302" w:name="_Toc184314410"/>
      <w:bookmarkEnd w:id="302"/>
      <w:bookmarkStart w:id="303" w:name="_Toc184313257"/>
      <w:bookmarkEnd w:id="303"/>
      <w:bookmarkStart w:id="304" w:name="_Toc184313272"/>
      <w:bookmarkEnd w:id="304"/>
      <w:bookmarkStart w:id="305" w:name="_Toc184310318"/>
      <w:bookmarkEnd w:id="305"/>
      <w:bookmarkStart w:id="306" w:name="_Toc184312137"/>
      <w:bookmarkEnd w:id="306"/>
      <w:bookmarkStart w:id="307" w:name="_Toc184308072"/>
      <w:bookmarkEnd w:id="307"/>
      <w:bookmarkStart w:id="308" w:name="_Toc184310332"/>
      <w:bookmarkEnd w:id="308"/>
      <w:bookmarkStart w:id="309" w:name="_Toc184312114"/>
      <w:bookmarkEnd w:id="309"/>
      <w:bookmarkStart w:id="310" w:name="_Toc184314464"/>
      <w:bookmarkEnd w:id="310"/>
      <w:bookmarkStart w:id="311" w:name="_Toc184308098"/>
      <w:bookmarkEnd w:id="311"/>
      <w:bookmarkStart w:id="312" w:name="_Toc184308087"/>
      <w:bookmarkEnd w:id="312"/>
      <w:bookmarkStart w:id="313" w:name="_Toc184312096"/>
      <w:bookmarkEnd w:id="313"/>
      <w:bookmarkStart w:id="314" w:name="_Toc184312111"/>
      <w:bookmarkEnd w:id="314"/>
      <w:bookmarkStart w:id="315" w:name="_Toc184313293"/>
      <w:bookmarkEnd w:id="315"/>
      <w:bookmarkStart w:id="316" w:name="_Toc184308081"/>
      <w:bookmarkEnd w:id="316"/>
      <w:bookmarkStart w:id="317" w:name="_Toc184312100"/>
      <w:bookmarkEnd w:id="317"/>
      <w:bookmarkStart w:id="318" w:name="_Toc184312102"/>
      <w:bookmarkEnd w:id="318"/>
      <w:bookmarkStart w:id="319" w:name="_Toc184312079"/>
      <w:bookmarkEnd w:id="319"/>
      <w:bookmarkStart w:id="320" w:name="_Toc184308050"/>
      <w:bookmarkEnd w:id="320"/>
      <w:bookmarkStart w:id="321" w:name="_Toc184314480"/>
      <w:bookmarkEnd w:id="321"/>
      <w:bookmarkStart w:id="322" w:name="_Toc184314452"/>
      <w:bookmarkEnd w:id="322"/>
      <w:bookmarkStart w:id="323" w:name="_Toc184312127"/>
      <w:bookmarkEnd w:id="323"/>
      <w:bookmarkStart w:id="324" w:name="_Toc184314481"/>
      <w:bookmarkEnd w:id="324"/>
      <w:bookmarkStart w:id="325" w:name="_Toc184310342"/>
      <w:bookmarkEnd w:id="325"/>
      <w:bookmarkStart w:id="326" w:name="_Toc184313264"/>
      <w:bookmarkEnd w:id="326"/>
      <w:bookmarkStart w:id="327" w:name="_Toc184312115"/>
      <w:bookmarkEnd w:id="327"/>
      <w:bookmarkStart w:id="328" w:name="_Toc184314445"/>
      <w:bookmarkEnd w:id="328"/>
      <w:bookmarkStart w:id="329" w:name="_Toc184308059"/>
      <w:bookmarkEnd w:id="329"/>
      <w:bookmarkStart w:id="330" w:name="_Toc184312117"/>
      <w:bookmarkEnd w:id="330"/>
      <w:bookmarkStart w:id="331" w:name="_Toc184314419"/>
      <w:bookmarkEnd w:id="331"/>
      <w:bookmarkStart w:id="332" w:name="_Toc184310309"/>
      <w:bookmarkEnd w:id="332"/>
      <w:bookmarkStart w:id="333" w:name="_Toc184308104"/>
      <w:bookmarkEnd w:id="333"/>
      <w:bookmarkStart w:id="334" w:name="_Toc184308102"/>
      <w:bookmarkEnd w:id="334"/>
      <w:bookmarkStart w:id="335" w:name="_Toc184310341"/>
      <w:bookmarkEnd w:id="335"/>
      <w:bookmarkStart w:id="336" w:name="_Toc184313253"/>
      <w:bookmarkEnd w:id="336"/>
      <w:bookmarkStart w:id="337" w:name="_Toc184312089"/>
      <w:bookmarkEnd w:id="337"/>
      <w:bookmarkStart w:id="338" w:name="_Toc184310336"/>
      <w:bookmarkEnd w:id="338"/>
      <w:bookmarkStart w:id="339" w:name="_Toc184312128"/>
      <w:bookmarkEnd w:id="339"/>
      <w:bookmarkStart w:id="340" w:name="_Toc184308084"/>
      <w:bookmarkEnd w:id="340"/>
      <w:bookmarkStart w:id="341" w:name="_Toc184308066"/>
      <w:bookmarkEnd w:id="341"/>
      <w:bookmarkStart w:id="342" w:name="_Toc184312138"/>
      <w:bookmarkEnd w:id="342"/>
      <w:bookmarkStart w:id="343" w:name="_Toc184308095"/>
      <w:bookmarkEnd w:id="343"/>
      <w:bookmarkStart w:id="344" w:name="_Toc184312126"/>
      <w:bookmarkEnd w:id="344"/>
      <w:bookmarkStart w:id="345" w:name="_Toc184313295"/>
      <w:bookmarkEnd w:id="345"/>
      <w:bookmarkStart w:id="346" w:name="_Toc184312125"/>
      <w:bookmarkEnd w:id="346"/>
      <w:bookmarkStart w:id="347" w:name="_Toc184310319"/>
      <w:bookmarkEnd w:id="347"/>
      <w:bookmarkStart w:id="348" w:name="_Toc184314437"/>
      <w:bookmarkEnd w:id="348"/>
      <w:bookmarkStart w:id="349" w:name="_Toc184314451"/>
      <w:bookmarkEnd w:id="349"/>
      <w:bookmarkStart w:id="350" w:name="_Toc184313300"/>
      <w:bookmarkEnd w:id="350"/>
      <w:bookmarkStart w:id="351" w:name="_Toc184308070"/>
      <w:bookmarkEnd w:id="351"/>
      <w:bookmarkStart w:id="352" w:name="_Toc184310317"/>
      <w:bookmarkEnd w:id="352"/>
      <w:bookmarkStart w:id="353" w:name="_Toc184314418"/>
      <w:bookmarkEnd w:id="353"/>
      <w:bookmarkStart w:id="354" w:name="_Toc184310302"/>
      <w:bookmarkEnd w:id="354"/>
      <w:bookmarkStart w:id="355" w:name="_Toc184313297"/>
      <w:bookmarkEnd w:id="355"/>
      <w:bookmarkStart w:id="356" w:name="_Toc184313243"/>
      <w:bookmarkEnd w:id="356"/>
      <w:bookmarkStart w:id="357" w:name="_Toc184310313"/>
      <w:bookmarkEnd w:id="357"/>
      <w:bookmarkStart w:id="358" w:name="_Toc184312093"/>
      <w:bookmarkEnd w:id="358"/>
      <w:bookmarkStart w:id="359" w:name="_Toc184313250"/>
      <w:bookmarkEnd w:id="359"/>
      <w:bookmarkStart w:id="360" w:name="_Toc184308052"/>
      <w:bookmarkEnd w:id="360"/>
      <w:bookmarkStart w:id="361" w:name="_Toc184314430"/>
      <w:bookmarkEnd w:id="361"/>
      <w:bookmarkStart w:id="362" w:name="_Toc184313258"/>
      <w:bookmarkEnd w:id="362"/>
      <w:bookmarkStart w:id="363" w:name="_Toc184308077"/>
      <w:bookmarkEnd w:id="363"/>
      <w:bookmarkStart w:id="364" w:name="_Toc184310304"/>
      <w:bookmarkEnd w:id="364"/>
      <w:bookmarkStart w:id="365" w:name="_Toc184308100"/>
      <w:bookmarkEnd w:id="365"/>
      <w:bookmarkStart w:id="366" w:name="_Toc184313274"/>
      <w:bookmarkEnd w:id="366"/>
      <w:bookmarkStart w:id="367" w:name="_Toc184313269"/>
      <w:bookmarkEnd w:id="367"/>
      <w:bookmarkStart w:id="368" w:name="_Toc184312090"/>
      <w:bookmarkEnd w:id="368"/>
      <w:bookmarkStart w:id="369" w:name="_Toc184310280"/>
      <w:bookmarkEnd w:id="369"/>
      <w:bookmarkStart w:id="370" w:name="_Toc184308092"/>
      <w:bookmarkEnd w:id="370"/>
      <w:bookmarkStart w:id="371" w:name="_Toc184312106"/>
      <w:bookmarkEnd w:id="371"/>
      <w:bookmarkStart w:id="372" w:name="_Toc184313298"/>
      <w:bookmarkEnd w:id="372"/>
      <w:bookmarkStart w:id="373" w:name="_Toc184312074"/>
      <w:bookmarkEnd w:id="373"/>
      <w:bookmarkStart w:id="374" w:name="_Toc184308082"/>
      <w:bookmarkEnd w:id="374"/>
      <w:bookmarkStart w:id="375" w:name="_Toc184308088"/>
      <w:bookmarkEnd w:id="375"/>
      <w:bookmarkStart w:id="376" w:name="_Toc184310281"/>
      <w:bookmarkEnd w:id="376"/>
      <w:bookmarkStart w:id="377" w:name="_Toc184312080"/>
      <w:bookmarkEnd w:id="377"/>
      <w:bookmarkStart w:id="378" w:name="_Toc184312116"/>
      <w:bookmarkEnd w:id="378"/>
      <w:bookmarkStart w:id="379" w:name="_Toc184313286"/>
      <w:bookmarkEnd w:id="379"/>
      <w:bookmarkStart w:id="380" w:name="_Toc184308039"/>
      <w:bookmarkEnd w:id="380"/>
      <w:bookmarkStart w:id="381" w:name="_Toc184313283"/>
      <w:bookmarkEnd w:id="381"/>
      <w:bookmarkStart w:id="382" w:name="_Toc184313244"/>
      <w:bookmarkEnd w:id="382"/>
      <w:bookmarkStart w:id="383" w:name="_Toc184313276"/>
      <w:bookmarkEnd w:id="383"/>
      <w:bookmarkStart w:id="384" w:name="_Toc184314427"/>
      <w:bookmarkEnd w:id="384"/>
      <w:bookmarkStart w:id="385" w:name="_Toc184312088"/>
      <w:bookmarkEnd w:id="385"/>
      <w:bookmarkStart w:id="386" w:name="_Toc184310282"/>
      <w:bookmarkEnd w:id="386"/>
      <w:bookmarkStart w:id="387" w:name="_Toc184308085"/>
      <w:bookmarkEnd w:id="387"/>
      <w:bookmarkStart w:id="388" w:name="_Toc184308060"/>
      <w:bookmarkEnd w:id="388"/>
      <w:bookmarkStart w:id="389" w:name="_Toc184314426"/>
      <w:bookmarkEnd w:id="389"/>
      <w:bookmarkStart w:id="390" w:name="_Toc184312113"/>
      <w:bookmarkEnd w:id="390"/>
      <w:bookmarkStart w:id="391" w:name="_Toc184313287"/>
      <w:bookmarkEnd w:id="391"/>
      <w:bookmarkStart w:id="392" w:name="_Toc184313290"/>
      <w:bookmarkEnd w:id="392"/>
      <w:bookmarkStart w:id="393" w:name="_Toc184314425"/>
      <w:bookmarkEnd w:id="393"/>
      <w:bookmarkStart w:id="394" w:name="_Toc184312071"/>
      <w:bookmarkEnd w:id="394"/>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W w:w="10972" w:type="dxa"/>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986"/>
        <w:gridCol w:w="643"/>
        <w:gridCol w:w="1589"/>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990" w:type="dxa"/>
            <w:tcBorders>
              <w:top w:val="single" w:color="auto" w:sz="4" w:space="0"/>
              <w:left w:val="single" w:color="auto" w:sz="4" w:space="0"/>
              <w:bottom w:val="single" w:color="auto" w:sz="4" w:space="0"/>
              <w:right w:val="single" w:color="auto" w:sz="4" w:space="0"/>
            </w:tcBorders>
            <w:vAlign w:val="center"/>
          </w:tcPr>
          <w:p>
            <w:pPr>
              <w:spacing w:beforeLines="50" w:afterLines="50" w:line="460" w:lineRule="exact"/>
              <w:jc w:val="center"/>
              <w:rPr>
                <w:rFonts w:hint="eastAsia" w:ascii="仿宋" w:hAnsi="仿宋" w:eastAsia="仿宋" w:cs="仿宋"/>
                <w:b/>
                <w:bCs/>
                <w:sz w:val="24"/>
              </w:rPr>
            </w:pPr>
            <w:r>
              <w:rPr>
                <w:rFonts w:hint="eastAsia" w:ascii="仿宋" w:hAnsi="仿宋" w:eastAsia="仿宋" w:cs="仿宋"/>
                <w:b/>
                <w:bCs/>
                <w:sz w:val="24"/>
              </w:rPr>
              <w:t>序号</w:t>
            </w:r>
          </w:p>
        </w:tc>
        <w:tc>
          <w:tcPr>
            <w:tcW w:w="5986" w:type="dxa"/>
            <w:tcBorders>
              <w:top w:val="single" w:color="auto" w:sz="4" w:space="0"/>
              <w:left w:val="nil"/>
              <w:bottom w:val="single" w:color="auto" w:sz="4" w:space="0"/>
              <w:right w:val="single" w:color="auto" w:sz="4" w:space="0"/>
            </w:tcBorders>
            <w:vAlign w:val="center"/>
          </w:tcPr>
          <w:p>
            <w:pPr>
              <w:spacing w:beforeLines="50" w:afterLines="50" w:line="340" w:lineRule="exact"/>
              <w:jc w:val="center"/>
              <w:rPr>
                <w:rFonts w:hint="eastAsia" w:ascii="仿宋" w:hAnsi="仿宋" w:eastAsia="仿宋" w:cs="仿宋"/>
                <w:b/>
                <w:bCs/>
                <w:sz w:val="24"/>
              </w:rPr>
            </w:pPr>
            <w:r>
              <w:rPr>
                <w:rFonts w:hint="eastAsia" w:ascii="仿宋" w:hAnsi="仿宋" w:eastAsia="仿宋" w:cs="仿宋"/>
                <w:b/>
                <w:bCs/>
                <w:sz w:val="24"/>
              </w:rPr>
              <w:t>评标标准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b/>
                <w:bCs/>
                <w:sz w:val="24"/>
              </w:rPr>
            </w:pPr>
            <w:r>
              <w:rPr>
                <w:rFonts w:hint="eastAsia" w:ascii="仿宋" w:hAnsi="仿宋" w:eastAsia="仿宋" w:cs="仿宋"/>
                <w:b/>
                <w:bCs/>
                <w:sz w:val="24"/>
              </w:rPr>
              <w:t>权重</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b/>
                <w:bCs/>
                <w:sz w:val="24"/>
              </w:rPr>
            </w:pPr>
            <w:r>
              <w:rPr>
                <w:rFonts w:hint="eastAsia" w:ascii="仿宋" w:hAnsi="仿宋" w:eastAsia="仿宋" w:cs="仿宋"/>
                <w:b/>
                <w:sz w:val="24"/>
              </w:rPr>
              <w:t>主观分/客观分属性</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b/>
                <w:bCs/>
                <w:sz w:val="24"/>
              </w:rPr>
            </w:pPr>
            <w:r>
              <w:rPr>
                <w:rFonts w:hint="eastAsia" w:ascii="仿宋" w:hAnsi="仿宋" w:eastAsia="仿宋" w:cs="仿宋"/>
                <w:b/>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72"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hint="eastAsia" w:ascii="仿宋" w:hAnsi="仿宋" w:eastAsia="仿宋" w:cs="仿宋"/>
                <w:b/>
                <w:bCs/>
                <w:sz w:val="24"/>
              </w:rPr>
            </w:pPr>
            <w:r>
              <w:rPr>
                <w:rFonts w:hint="eastAsia" w:ascii="仿宋" w:hAnsi="仿宋" w:eastAsia="仿宋" w:cs="仿宋"/>
                <w:b/>
                <w:bCs/>
                <w:sz w:val="24"/>
              </w:rPr>
              <w:t>技术分（</w:t>
            </w:r>
            <w:r>
              <w:rPr>
                <w:rFonts w:hint="eastAsia" w:ascii="仿宋" w:hAnsi="仿宋" w:eastAsia="仿宋" w:cs="仿宋"/>
                <w:b/>
                <w:bCs/>
                <w:sz w:val="24"/>
                <w:lang w:val="en-US" w:eastAsia="zh-CN"/>
              </w:rPr>
              <w:t>44</w:t>
            </w:r>
            <w:r>
              <w:rPr>
                <w:rFonts w:hint="eastAsia" w:ascii="仿宋" w:hAnsi="仿宋" w:eastAsia="仿宋" w:cs="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lang w:eastAsia="zh-CN"/>
              </w:rPr>
            </w:pPr>
            <w:r>
              <w:rPr>
                <w:rFonts w:hint="eastAsia" w:ascii="仿宋" w:hAnsi="仿宋" w:eastAsia="仿宋" w:cs="仿宋"/>
                <w:b w:val="0"/>
                <w:bCs w:val="0"/>
                <w:color w:val="auto"/>
                <w:kern w:val="2"/>
                <w:sz w:val="24"/>
                <w:szCs w:val="24"/>
                <w:highlight w:val="none"/>
                <w:lang w:val="zh-CN" w:eastAsia="zh-CN" w:bidi="ar-SA"/>
              </w:rPr>
              <w:t>针对本项目提供的船舶设计外形，线性流畅度进行</w:t>
            </w:r>
            <w:r>
              <w:rPr>
                <w:rFonts w:hint="eastAsia" w:ascii="仿宋" w:hAnsi="仿宋" w:eastAsia="仿宋" w:cs="仿宋"/>
                <w:b w:val="0"/>
                <w:bCs w:val="0"/>
                <w:color w:val="auto"/>
                <w:kern w:val="2"/>
                <w:sz w:val="24"/>
                <w:szCs w:val="24"/>
                <w:highlight w:val="none"/>
                <w:lang w:val="en-US" w:eastAsia="zh-CN" w:bidi="ar-SA"/>
              </w:rPr>
              <w:t>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设计及外观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zh-CN" w:eastAsia="zh-CN" w:bidi="ar-SA"/>
              </w:rPr>
              <w:t>根据</w:t>
            </w:r>
            <w:r>
              <w:rPr>
                <w:rFonts w:hint="eastAsia" w:ascii="仿宋" w:hAnsi="仿宋" w:eastAsia="仿宋" w:cs="仿宋"/>
                <w:b w:val="0"/>
                <w:bCs w:val="0"/>
                <w:color w:val="auto"/>
                <w:kern w:val="2"/>
                <w:sz w:val="24"/>
                <w:szCs w:val="24"/>
                <w:highlight w:val="none"/>
                <w:lang w:val="en-US" w:eastAsia="zh-CN" w:bidi="ar-SA"/>
              </w:rPr>
              <w:t>所投产品</w:t>
            </w:r>
            <w:r>
              <w:rPr>
                <w:rFonts w:hint="eastAsia" w:ascii="仿宋" w:hAnsi="仿宋" w:eastAsia="仿宋" w:cs="仿宋"/>
                <w:b w:val="0"/>
                <w:bCs w:val="0"/>
                <w:color w:val="auto"/>
                <w:kern w:val="2"/>
                <w:sz w:val="24"/>
                <w:szCs w:val="24"/>
                <w:highlight w:val="none"/>
                <w:lang w:val="zh-CN" w:eastAsia="zh-CN" w:bidi="ar-SA"/>
              </w:rPr>
              <w:t>设计的功能布局是否合理，并完全满足招标文件船舶技术要求，</w:t>
            </w:r>
            <w:r>
              <w:rPr>
                <w:rFonts w:hint="eastAsia" w:ascii="仿宋" w:hAnsi="仿宋" w:eastAsia="仿宋" w:cs="仿宋"/>
                <w:b w:val="0"/>
                <w:bCs w:val="0"/>
                <w:color w:val="auto"/>
                <w:kern w:val="2"/>
                <w:sz w:val="24"/>
                <w:szCs w:val="24"/>
                <w:highlight w:val="none"/>
                <w:lang w:val="en-US" w:eastAsia="zh-CN" w:bidi="ar-SA"/>
              </w:rPr>
              <w:t>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kern w:val="0"/>
                <w:sz w:val="24"/>
                <w:lang w:val="en-US" w:eastAsia="zh-CN"/>
              </w:rPr>
              <w:t>功能布局的科学性及合理性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en-US" w:eastAsia="zh-CN" w:bidi="ar-SA"/>
              </w:rPr>
              <w:t>根据供应商提供的各项设计资料：船舶说明书、总布置图、基本结构图、破舱稳性计算书、完整稳性计算书的符合情况进行综合打分，最高得5分。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kern w:val="0"/>
                <w:sz w:val="24"/>
                <w:lang w:val="en-US" w:eastAsia="zh-CN"/>
              </w:rPr>
            </w:pPr>
            <w:r>
              <w:rPr>
                <w:rFonts w:hint="eastAsia" w:ascii="仿宋" w:hAnsi="仿宋" w:eastAsia="仿宋" w:cs="仿宋"/>
                <w:sz w:val="24"/>
                <w:lang w:val="en-US" w:eastAsia="zh-CN"/>
              </w:rPr>
              <w:t>设计资料满足程度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b/>
                <w:bCs/>
                <w:color w:val="000000"/>
                <w:sz w:val="24"/>
                <w:lang w:val="zh-CN"/>
              </w:rPr>
            </w:pPr>
            <w:r>
              <w:rPr>
                <w:rFonts w:hint="eastAsia" w:ascii="仿宋" w:hAnsi="仿宋" w:eastAsia="仿宋" w:cs="仿宋"/>
                <w:b w:val="0"/>
                <w:bCs w:val="0"/>
                <w:color w:val="auto"/>
                <w:kern w:val="2"/>
                <w:sz w:val="24"/>
                <w:szCs w:val="24"/>
                <w:highlight w:val="none"/>
                <w:lang w:val="en-US" w:eastAsia="zh-CN" w:bidi="ar-SA"/>
              </w:rPr>
              <w:t>根据投标人所采用的船体、轮机、电气、内装等施工工艺技术方案的科学性、合理性、成熟性、先进性，综合打分，最多得 5 分</w:t>
            </w:r>
          </w:p>
        </w:tc>
        <w:tc>
          <w:tcPr>
            <w:tcW w:w="643"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rPr>
            </w:pPr>
            <w:r>
              <w:rPr>
                <w:rFonts w:hint="eastAsia" w:ascii="仿宋" w:hAnsi="仿宋" w:eastAsia="仿宋" w:cs="仿宋"/>
                <w:b w:val="0"/>
                <w:bCs w:val="0"/>
                <w:color w:val="auto"/>
                <w:kern w:val="2"/>
                <w:sz w:val="24"/>
                <w:szCs w:val="24"/>
                <w:highlight w:val="none"/>
                <w:lang w:val="en-US" w:eastAsia="zh-CN" w:bidi="ar-SA"/>
              </w:rPr>
              <w:t>评委对供应商针对本项目提交的项目实施计划详尽性、进度保障措施（</w:t>
            </w:r>
            <w:r>
              <w:rPr>
                <w:rFonts w:hint="eastAsia" w:ascii="仿宋" w:hAnsi="仿宋" w:eastAsia="仿宋" w:cs="仿宋"/>
                <w:b w:val="0"/>
                <w:bCs w:val="0"/>
                <w:color w:val="auto"/>
                <w:kern w:val="2"/>
                <w:sz w:val="24"/>
                <w:szCs w:val="24"/>
                <w:highlight w:val="none"/>
                <w:lang w:val="zh-CN" w:eastAsia="zh-CN" w:bidi="ar-SA"/>
              </w:rPr>
              <w:t>对主要设备采购进度、船舶建造进度计划安排等</w:t>
            </w:r>
            <w:r>
              <w:rPr>
                <w:rFonts w:hint="eastAsia" w:ascii="仿宋" w:hAnsi="仿宋" w:eastAsia="仿宋" w:cs="仿宋"/>
                <w:b w:val="0"/>
                <w:bCs w:val="0"/>
                <w:color w:val="auto"/>
                <w:kern w:val="2"/>
                <w:sz w:val="24"/>
                <w:szCs w:val="24"/>
                <w:highlight w:val="none"/>
                <w:lang w:val="en-US" w:eastAsia="zh-CN" w:bidi="ar-SA"/>
              </w:rPr>
              <w:t>）、保障按时完工能力及措施进行综合打分，最高得5分。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实施计划及进度保证措施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6</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en-US" w:eastAsia="zh-CN" w:bidi="ar-SA"/>
              </w:rPr>
              <w:t>供应商针对本项目提交的安全生产、文明生产措施、船舶试航验收计划和方案等进行打分，最高得4分。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安全生产、文明施工方案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7</w:t>
            </w:r>
          </w:p>
        </w:tc>
        <w:tc>
          <w:tcPr>
            <w:tcW w:w="5986" w:type="dxa"/>
            <w:tcBorders>
              <w:top w:val="single" w:color="auto" w:sz="4" w:space="0"/>
              <w:left w:val="nil"/>
              <w:bottom w:val="single" w:color="auto" w:sz="4" w:space="0"/>
              <w:right w:val="single" w:color="auto" w:sz="4" w:space="0"/>
            </w:tcBorders>
            <w:vAlign w:val="center"/>
          </w:tcPr>
          <w:p>
            <w:pPr>
              <w:snapToGrid w:val="0"/>
              <w:rPr>
                <w:rFonts w:hint="eastAsia" w:ascii="仿宋" w:hAnsi="仿宋" w:eastAsia="仿宋" w:cs="仿宋"/>
                <w:b w:val="0"/>
                <w:bCs w:val="0"/>
                <w:color w:val="auto"/>
                <w:kern w:val="2"/>
                <w:sz w:val="24"/>
                <w:szCs w:val="24"/>
                <w:highlight w:val="none"/>
                <w:rtl w:val="0"/>
                <w:lang w:val="en-US" w:eastAsia="zh-CN" w:bidi="ar-SA"/>
              </w:rPr>
            </w:pPr>
            <w:r>
              <w:rPr>
                <w:rFonts w:hint="eastAsia" w:ascii="仿宋" w:hAnsi="仿宋" w:eastAsia="仿宋" w:cs="仿宋"/>
                <w:b w:val="0"/>
                <w:bCs w:val="0"/>
                <w:color w:val="auto"/>
                <w:kern w:val="2"/>
                <w:sz w:val="24"/>
                <w:szCs w:val="24"/>
                <w:highlight w:val="none"/>
                <w:rtl w:val="0"/>
                <w:lang w:val="en-US" w:eastAsia="zh-CN" w:bidi="ar-SA"/>
              </w:rPr>
              <w:t>项目组其他人员具有船体工程师、船舶机械工程师、船舶与海洋工程工程师职称的，每有1人得1分，最高得3分；项目组其他人员获得船舶主管单位颁发的手糊工资格证书的，每有1人的得0.5分，最高得2分。</w:t>
            </w:r>
          </w:p>
          <w:p>
            <w:pPr>
              <w:rPr>
                <w:rFonts w:hint="eastAsia" w:ascii="仿宋" w:hAnsi="仿宋" w:eastAsia="仿宋" w:cs="仿宋"/>
                <w:color w:val="000000"/>
                <w:sz w:val="24"/>
                <w:lang w:val="zh-CN"/>
              </w:rPr>
            </w:pPr>
            <w:r>
              <w:rPr>
                <w:rFonts w:hint="eastAsia" w:ascii="仿宋" w:hAnsi="仿宋" w:eastAsia="仿宋" w:cs="仿宋"/>
                <w:b w:val="0"/>
                <w:bCs w:val="0"/>
                <w:color w:val="auto"/>
                <w:kern w:val="2"/>
                <w:sz w:val="24"/>
                <w:szCs w:val="24"/>
                <w:highlight w:val="none"/>
                <w:rtl w:val="0"/>
                <w:lang w:val="en-US" w:eastAsia="zh-CN" w:bidi="ar-SA"/>
              </w:rPr>
              <w:t>注：以上项目组人员同一人员证书不累计计分，需提供相关人员资格证书、劳动合同原件扫描件及近三个月社保证明材料并加盖公章，否则不得分。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lang w:val="en-US" w:eastAsia="zh-CN"/>
              </w:rPr>
            </w:pPr>
            <w:r>
              <w:rPr>
                <w:rFonts w:hint="eastAsia" w:ascii="仿宋" w:hAnsi="仿宋" w:eastAsia="仿宋" w:cs="仿宋"/>
                <w:sz w:val="24"/>
                <w:lang w:val="en-US" w:eastAsia="zh-CN"/>
              </w:rPr>
              <w:t>项目组成人员及资质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rPr>
            </w:pPr>
            <w:r>
              <w:rPr>
                <w:rFonts w:hint="eastAsia" w:ascii="仿宋" w:hAnsi="仿宋" w:eastAsia="仿宋" w:cs="仿宋"/>
                <w:color w:val="000000"/>
                <w:sz w:val="24"/>
              </w:rPr>
              <w:t>8</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lang w:val="zh-CN"/>
              </w:rPr>
            </w:pPr>
            <w:r>
              <w:rPr>
                <w:rFonts w:hint="eastAsia" w:ascii="仿宋" w:hAnsi="仿宋" w:eastAsia="仿宋" w:cs="仿宋"/>
                <w:color w:val="auto"/>
                <w:sz w:val="24"/>
                <w:highlight w:val="none"/>
                <w:lang w:val="en-US" w:eastAsia="zh-CN"/>
              </w:rPr>
              <w:t>投标人组织实施方案的科学性、合理性、规范性和可操作性，包括供货渠道、供货时间、验货、调试等内容，综合打分，最高得2分。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lang w:val="en-US" w:eastAsia="zh-CN"/>
              </w:rPr>
            </w:pPr>
            <w:r>
              <w:rPr>
                <w:rFonts w:hint="eastAsia" w:ascii="仿宋" w:hAnsi="仿宋" w:eastAsia="仿宋" w:cs="仿宋"/>
                <w:sz w:val="24"/>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9</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中标人须对招标人的技术人员培训。投标人须在投标文件中提供详细的培训计划，包括培训内容、培训时间、培训费用等进行综合打分，其中培训内容需包含（①原理、构成和功能的描述。②常见故障的处理或排除。③各系统部件（设备）的检查、调整和维护。④对使用者关于设备基本操作技能的培训）等内容。</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lang w:val="en-US" w:eastAsia="zh-CN"/>
              </w:rPr>
            </w:pPr>
            <w:r>
              <w:rPr>
                <w:rFonts w:hint="eastAsia" w:ascii="仿宋" w:hAnsi="仿宋" w:eastAsia="仿宋" w:cs="仿宋"/>
                <w:sz w:val="24"/>
                <w:lang w:val="en-US" w:eastAsia="zh-CN"/>
              </w:rPr>
              <w:t>技术培训方案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拟投入本项目的造船设施及装备的拥有状况及先进性，船厂设备齐全性能情况，能充分满足建造工程条件（参考投标文件及投标人提供资料，要求具有固定风雨棚、独立船台，固定行吊起重设备等），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lang w:val="en-US" w:eastAsia="zh-CN"/>
              </w:rPr>
            </w:pPr>
            <w:r>
              <w:rPr>
                <w:rFonts w:hint="eastAsia" w:ascii="仿宋" w:hAnsi="仿宋" w:eastAsia="仿宋" w:cs="仿宋"/>
                <w:sz w:val="24"/>
                <w:lang w:val="en-US" w:eastAsia="zh-CN"/>
              </w:rPr>
              <w:t>制造设备情况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0"/>
                <w:sz w:val="24"/>
                <w:lang w:val="en-US" w:eastAsia="zh-CN"/>
              </w:rPr>
            </w:pPr>
            <w:r>
              <w:rPr>
                <w:rFonts w:hint="eastAsia" w:ascii="仿宋" w:hAnsi="仿宋" w:eastAsia="仿宋" w:cs="仿宋"/>
                <w:color w:val="000000"/>
                <w:sz w:val="24"/>
                <w:lang w:val="en-US" w:eastAsia="zh-CN"/>
              </w:rPr>
              <w:t>11</w:t>
            </w:r>
          </w:p>
        </w:tc>
        <w:tc>
          <w:tcPr>
            <w:tcW w:w="5986" w:type="dxa"/>
            <w:tcBorders>
              <w:top w:val="single" w:color="auto" w:sz="4" w:space="0"/>
              <w:left w:val="nil"/>
              <w:bottom w:val="single" w:color="auto" w:sz="4" w:space="0"/>
              <w:right w:val="single" w:color="auto" w:sz="4" w:space="0"/>
            </w:tcBorders>
            <w:vAlign w:val="center"/>
          </w:tcPr>
          <w:p>
            <w:pPr>
              <w:pStyle w:val="24"/>
              <w:rPr>
                <w:rFonts w:hint="eastAsia" w:ascii="仿宋" w:hAnsi="仿宋" w:eastAsia="仿宋" w:cs="仿宋"/>
                <w:lang w:val="en-US" w:eastAsia="zh-CN"/>
              </w:rPr>
            </w:pPr>
            <w:r>
              <w:rPr>
                <w:rFonts w:hint="eastAsia" w:ascii="仿宋" w:hAnsi="仿宋" w:eastAsia="仿宋" w:cs="仿宋"/>
                <w:color w:val="auto"/>
                <w:sz w:val="24"/>
                <w:highlight w:val="none"/>
                <w:lang w:val="en-US" w:eastAsia="zh-CN"/>
              </w:rPr>
              <w:t>根据投标人提供的售后服务、维保方案（包括维保标准，保修部件范围等方面进行综合打分，最高得3分。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lang w:val="en-US" w:eastAsia="zh-CN"/>
              </w:rPr>
            </w:pPr>
            <w:r>
              <w:rPr>
                <w:rFonts w:hint="eastAsia" w:ascii="仿宋" w:hAnsi="仿宋" w:eastAsia="仿宋" w:cs="仿宋"/>
                <w:sz w:val="24"/>
                <w:lang w:val="en-US" w:eastAsia="zh-CN"/>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972"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hint="eastAsia" w:ascii="仿宋" w:hAnsi="仿宋" w:eastAsia="仿宋" w:cs="仿宋"/>
                <w:sz w:val="24"/>
              </w:rPr>
            </w:pPr>
            <w:r>
              <w:rPr>
                <w:rFonts w:hint="eastAsia" w:ascii="仿宋" w:hAnsi="仿宋" w:eastAsia="仿宋" w:cs="仿宋"/>
                <w:b/>
                <w:bCs/>
                <w:sz w:val="24"/>
              </w:rPr>
              <w:t>资信及商务分（</w:t>
            </w:r>
            <w:r>
              <w:rPr>
                <w:rFonts w:hint="eastAsia" w:ascii="仿宋" w:hAnsi="仿宋" w:eastAsia="仿宋" w:cs="仿宋"/>
                <w:b/>
                <w:bCs/>
                <w:sz w:val="24"/>
                <w:lang w:val="en-US" w:eastAsia="zh-CN"/>
              </w:rPr>
              <w:t>16</w:t>
            </w:r>
            <w:r>
              <w:rPr>
                <w:rFonts w:hint="eastAsia" w:ascii="仿宋" w:hAnsi="仿宋" w:eastAsia="仿宋" w:cs="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12</w:t>
            </w:r>
          </w:p>
        </w:tc>
        <w:tc>
          <w:tcPr>
            <w:tcW w:w="5986" w:type="dxa"/>
            <w:tcBorders>
              <w:top w:val="single" w:color="auto" w:sz="4" w:space="0"/>
              <w:left w:val="nil"/>
              <w:bottom w:val="single" w:color="auto" w:sz="4" w:space="0"/>
              <w:right w:val="single" w:color="auto" w:sz="4" w:space="0"/>
            </w:tcBorders>
            <w:vAlign w:val="center"/>
          </w:tcPr>
          <w:p>
            <w:pPr>
              <w:pStyle w:val="38"/>
              <w:numPr>
                <w:ilvl w:val="0"/>
                <w:numId w:val="5"/>
              </w:numPr>
              <w:spacing w:line="360" w:lineRule="exact"/>
              <w:ind w:right="-107" w:rightChars="-51" w:firstLine="0" w:firstLineChars="0"/>
              <w:jc w:val="left"/>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en-US" w:eastAsia="zh-CN" w:bidi="ar-SA"/>
              </w:rPr>
              <w:t>投标人拥有有效期内中国船级社质量管理体系认证证书、中国船级社环境管理体系认证证书、中国船级社职业健康安全管理体系认证证书、安全生产标准化证书的，每提供一个得 1 分，最高得4分；2、投标人持有类似船型专利证书，提供一个得0.5分，最高得1分。（需提供有效期内相应证书复印件并加盖公章，不提供不得分）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体系认证</w:t>
            </w:r>
          </w:p>
          <w:p>
            <w:pPr>
              <w:spacing w:beforeLines="50" w:afterLines="50"/>
              <w:jc w:val="center"/>
              <w:rPr>
                <w:rFonts w:hint="eastAsia" w:ascii="仿宋" w:hAnsi="仿宋" w:eastAsia="仿宋" w:cs="仿宋"/>
                <w:sz w:val="24"/>
              </w:rPr>
            </w:pPr>
            <w:r>
              <w:rPr>
                <w:rFonts w:hint="eastAsia" w:ascii="仿宋" w:hAnsi="仿宋" w:eastAsia="仿宋" w:cs="仿宋"/>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13</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en-US" w:eastAsia="zh-CN" w:bidi="ar-SA"/>
              </w:rPr>
              <w:t>质保期满足招标要求（质保期1年）不得分，每增加半年得1分，最高得2分。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14</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en-US" w:eastAsia="zh-CN" w:bidi="ar-SA"/>
              </w:rPr>
              <w:t>自2020年1月1日以来（以合同签订时间为准）投标人承担过类似项目业绩的每个得1分，最高得4分。（需同时提供合同复印件和验收证明，否则不得分）。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hint="eastAsia" w:ascii="仿宋" w:hAnsi="仿宋" w:eastAsia="仿宋" w:cs="仿宋"/>
                <w:sz w:val="24"/>
              </w:rPr>
            </w:pPr>
            <w:r>
              <w:rPr>
                <w:rFonts w:hint="eastAsia" w:ascii="仿宋" w:hAnsi="仿宋" w:eastAsia="仿宋" w:cs="仿宋"/>
                <w:sz w:val="24"/>
              </w:rPr>
              <w:t>客观分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rPr>
            </w:pPr>
            <w:r>
              <w:rPr>
                <w:rFonts w:hint="eastAsia" w:ascii="仿宋" w:hAnsi="仿宋" w:eastAsia="仿宋" w:cs="仿宋"/>
                <w:sz w:val="24"/>
              </w:rPr>
              <w:t>类似项目</w:t>
            </w:r>
          </w:p>
          <w:p>
            <w:pPr>
              <w:spacing w:beforeLines="50" w:afterLines="50"/>
              <w:rPr>
                <w:rFonts w:hint="eastAsia" w:ascii="仿宋" w:hAnsi="仿宋" w:eastAsia="仿宋" w:cs="仿宋"/>
                <w:sz w:val="24"/>
              </w:rPr>
            </w:pPr>
            <w:r>
              <w:rPr>
                <w:rFonts w:hint="eastAsia" w:ascii="仿宋" w:hAnsi="仿宋" w:eastAsia="仿宋" w:cs="仿宋"/>
                <w:sz w:val="24"/>
              </w:rPr>
              <w:t>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15</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b w:val="0"/>
                <w:bCs w:val="0"/>
                <w:color w:val="auto"/>
                <w:kern w:val="2"/>
                <w:sz w:val="24"/>
                <w:szCs w:val="24"/>
                <w:highlight w:val="none"/>
                <w:lang w:val="en-US" w:eastAsia="zh-CN" w:bidi="ar-SA"/>
              </w:rPr>
              <w:t>定期巡检，备品备件等情况阐述明细性、合理性，针对性进行综合打分，最高得2分。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hint="eastAsia" w:ascii="仿宋" w:hAnsi="仿宋" w:eastAsia="仿宋" w:cs="仿宋"/>
                <w:sz w:val="24"/>
                <w:lang w:val="en-US" w:eastAsia="zh-CN"/>
              </w:rPr>
            </w:pPr>
            <w:r>
              <w:rPr>
                <w:rFonts w:hint="eastAsia" w:ascii="仿宋" w:hAnsi="仿宋" w:eastAsia="仿宋" w:cs="仿宋"/>
                <w:sz w:val="24"/>
                <w:lang w:val="en-US" w:eastAsia="zh-CN"/>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rPr>
                <w:rFonts w:hint="eastAsia" w:ascii="仿宋" w:hAnsi="仿宋" w:eastAsia="仿宋" w:cs="仿宋"/>
                <w:sz w:val="24"/>
                <w:lang w:val="en-US" w:eastAsia="zh-CN"/>
              </w:rPr>
            </w:pPr>
            <w:r>
              <w:rPr>
                <w:rFonts w:hint="eastAsia" w:ascii="仿宋" w:hAnsi="仿宋" w:eastAsia="仿宋" w:cs="仿宋"/>
                <w:sz w:val="24"/>
                <w:lang w:val="en-US" w:eastAsia="zh-CN"/>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16</w:t>
            </w:r>
          </w:p>
        </w:tc>
        <w:tc>
          <w:tcPr>
            <w:tcW w:w="5986" w:type="dxa"/>
            <w:tcBorders>
              <w:top w:val="single" w:color="auto" w:sz="4" w:space="0"/>
              <w:left w:val="nil"/>
              <w:bottom w:val="single" w:color="auto" w:sz="4" w:space="0"/>
              <w:right w:val="single" w:color="auto" w:sz="4" w:space="0"/>
            </w:tcBorders>
            <w:vAlign w:val="center"/>
          </w:tcPr>
          <w:p>
            <w:pPr>
              <w:pStyle w:val="25"/>
              <w:ind w:firstLine="0"/>
              <w:rPr>
                <w:rFonts w:hint="eastAsia" w:ascii="仿宋" w:hAnsi="仿宋" w:eastAsia="仿宋" w:cs="仿宋"/>
                <w:szCs w:val="24"/>
                <w:lang w:val="en-US"/>
              </w:rPr>
            </w:pPr>
            <w:r>
              <w:rPr>
                <w:rFonts w:hint="eastAsia" w:ascii="仿宋" w:hAnsi="仿宋" w:eastAsia="仿宋" w:cs="仿宋"/>
                <w:b w:val="0"/>
                <w:bCs w:val="0"/>
                <w:color w:val="auto"/>
                <w:kern w:val="2"/>
                <w:sz w:val="24"/>
                <w:szCs w:val="24"/>
                <w:highlight w:val="none"/>
                <w:lang w:val="zh-CN" w:eastAsia="zh-CN" w:bidi="ar-SA"/>
              </w:rPr>
              <w:t>投标人提供的售后维护机构和人员等情况，是否具有较强的本地化服务能力，在本地是否拥有常驻服务、技术支持机构以及较强的专业技术队伍，能提供快速的售后服务响应。（提供相关证明材料）。（</w:t>
            </w:r>
            <w:r>
              <w:rPr>
                <w:rFonts w:hint="eastAsia" w:ascii="仿宋" w:hAnsi="仿宋" w:eastAsia="仿宋" w:cs="仿宋"/>
                <w:b w:val="0"/>
                <w:bCs w:val="0"/>
                <w:color w:val="auto"/>
                <w:kern w:val="2"/>
                <w:sz w:val="24"/>
                <w:szCs w:val="24"/>
                <w:highlight w:val="none"/>
                <w:lang w:val="en-US" w:eastAsia="zh-CN" w:bidi="ar-SA"/>
              </w:rPr>
              <w:t>0-3</w:t>
            </w:r>
            <w:r>
              <w:rPr>
                <w:rFonts w:hint="eastAsia" w:ascii="仿宋" w:hAnsi="仿宋" w:eastAsia="仿宋" w:cs="仿宋"/>
                <w:b w:val="0"/>
                <w:bCs w:val="0"/>
                <w:color w:val="auto"/>
                <w:kern w:val="2"/>
                <w:sz w:val="24"/>
                <w:szCs w:val="24"/>
                <w:highlight w:val="none"/>
                <w:lang w:val="zh-CN" w:eastAsia="zh-CN" w:bidi="ar-SA"/>
              </w:rPr>
              <w:t>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主观分</w:t>
            </w:r>
          </w:p>
        </w:tc>
        <w:tc>
          <w:tcPr>
            <w:tcW w:w="1764"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zh-CN"/>
              </w:rPr>
            </w:pPr>
            <w:r>
              <w:rPr>
                <w:rFonts w:hint="eastAsia" w:ascii="仿宋" w:hAnsi="仿宋" w:eastAsia="仿宋" w:cs="仿宋"/>
                <w:sz w:val="24"/>
                <w:lang w:val="zh-CN"/>
              </w:rPr>
              <w:t>售后服务</w:t>
            </w:r>
          </w:p>
          <w:p>
            <w:pPr>
              <w:spacing w:beforeLines="50" w:afterLines="50"/>
              <w:jc w:val="center"/>
              <w:rPr>
                <w:rFonts w:hint="eastAsia" w:ascii="仿宋" w:hAnsi="仿宋" w:eastAsia="仿宋" w:cs="仿宋"/>
                <w:sz w:val="24"/>
              </w:rPr>
            </w:pPr>
            <w:r>
              <w:rPr>
                <w:rFonts w:hint="eastAsia" w:ascii="仿宋" w:hAnsi="仿宋" w:eastAsia="仿宋" w:cs="仿宋"/>
                <w:sz w:val="24"/>
                <w:lang w:val="zh-CN"/>
              </w:rPr>
              <w:t>应对方案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972"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hint="eastAsia" w:ascii="仿宋" w:hAnsi="仿宋" w:eastAsia="仿宋" w:cs="仿宋"/>
                <w:sz w:val="24"/>
              </w:rPr>
            </w:pPr>
            <w:r>
              <w:rPr>
                <w:rFonts w:hint="eastAsia" w:ascii="仿宋" w:hAnsi="仿宋" w:eastAsia="仿宋" w:cs="仿宋"/>
                <w:b/>
                <w:bCs/>
                <w:sz w:val="24"/>
              </w:rPr>
              <w:t>价格分（</w:t>
            </w:r>
            <w:r>
              <w:rPr>
                <w:rFonts w:hint="eastAsia" w:ascii="仿宋" w:hAnsi="仿宋" w:eastAsia="仿宋" w:cs="仿宋"/>
                <w:b/>
                <w:bCs/>
                <w:sz w:val="24"/>
                <w:lang w:val="en-US" w:eastAsia="zh-CN"/>
              </w:rPr>
              <w:t>40</w:t>
            </w:r>
            <w:r>
              <w:rPr>
                <w:rFonts w:hint="eastAsia" w:ascii="仿宋" w:hAnsi="仿宋" w:eastAsia="仿宋" w:cs="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17</w:t>
            </w:r>
          </w:p>
        </w:tc>
        <w:tc>
          <w:tcPr>
            <w:tcW w:w="5986" w:type="dxa"/>
            <w:tcBorders>
              <w:top w:val="single" w:color="auto" w:sz="4" w:space="0"/>
              <w:left w:val="nil"/>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满足招标文件要求且投标报价最低的投标报价为评标基准价，其价格分为满分。其他投标人的价格分统一按照下列公式计算：投标报价得分=（评标基准价/投标报价）*</w:t>
            </w:r>
            <w:r>
              <w:rPr>
                <w:rFonts w:hint="eastAsia" w:ascii="仿宋" w:hAnsi="仿宋" w:eastAsia="仿宋" w:cs="仿宋"/>
                <w:sz w:val="24"/>
                <w:lang w:val="en-US" w:eastAsia="zh-CN"/>
              </w:rPr>
              <w:t>4</w:t>
            </w:r>
            <w:r>
              <w:rPr>
                <w:rFonts w:hint="eastAsia" w:ascii="仿宋" w:hAnsi="仿宋" w:eastAsia="仿宋" w:cs="仿宋"/>
                <w:sz w:val="24"/>
              </w:rPr>
              <w:t>0%×100</w:t>
            </w:r>
          </w:p>
          <w:p>
            <w:pPr>
              <w:rPr>
                <w:rFonts w:hint="eastAsia" w:ascii="仿宋" w:hAnsi="仿宋" w:eastAsia="仿宋" w:cs="仿宋"/>
                <w:sz w:val="24"/>
              </w:rPr>
            </w:pPr>
            <w:r>
              <w:rPr>
                <w:rFonts w:hint="eastAsia" w:ascii="仿宋" w:hAnsi="仿宋" w:eastAsia="仿宋" w:cs="仿宋"/>
                <w:sz w:val="24"/>
              </w:rPr>
              <w:t>评标过程中，不得去掉报价中的最高报价和最低报价。</w:t>
            </w:r>
          </w:p>
          <w:p>
            <w:pPr>
              <w:rPr>
                <w:rFonts w:hint="eastAsia" w:ascii="仿宋" w:hAnsi="仿宋" w:eastAsia="仿宋" w:cs="仿宋"/>
                <w:sz w:val="24"/>
              </w:rPr>
            </w:pPr>
            <w:r>
              <w:rPr>
                <w:rFonts w:hint="eastAsia" w:ascii="仿宋" w:hAnsi="仿宋" w:eastAsia="仿宋" w:cs="仿宋"/>
                <w:sz w:val="24"/>
              </w:rPr>
              <w:t>对于未预留份额专门面向中小企业的采购项目，以及预留份额采购项目中的非预留部分，对小型和微型企业的投标报价给予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%的扣除，用扣除后的</w:t>
            </w:r>
            <w:r>
              <w:rPr>
                <w:rFonts w:hint="eastAsia" w:ascii="仿宋" w:hAnsi="仿宋" w:eastAsia="仿宋" w:cs="仿宋"/>
                <w:sz w:val="24"/>
              </w:rPr>
              <w:t>价格参加评审。</w:t>
            </w:r>
          </w:p>
        </w:tc>
        <w:tc>
          <w:tcPr>
            <w:tcW w:w="643"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仿宋" w:hAnsi="仿宋" w:eastAsia="仿宋" w:cs="仿宋"/>
                <w:sz w:val="24"/>
                <w:lang w:val="en-US" w:eastAsia="zh-CN"/>
              </w:rPr>
            </w:pPr>
            <w:r>
              <w:rPr>
                <w:rFonts w:hint="eastAsia" w:ascii="仿宋" w:hAnsi="仿宋" w:eastAsia="仿宋" w:cs="仿宋"/>
                <w:sz w:val="24"/>
                <w:lang w:val="en-US" w:eastAsia="zh-CN"/>
              </w:rPr>
              <w:t>40</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w:t>
            </w:r>
          </w:p>
        </w:tc>
        <w:tc>
          <w:tcPr>
            <w:tcW w:w="176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仿宋" w:hAnsi="仿宋" w:eastAsia="仿宋" w:cs="仿宋"/>
                <w:sz w:val="24"/>
              </w:rPr>
            </w:pPr>
            <w:r>
              <w:rPr>
                <w:rFonts w:hint="eastAsia" w:ascii="仿宋" w:hAnsi="仿宋" w:eastAsia="仿宋" w:cs="仿宋"/>
                <w:sz w:val="24"/>
              </w:rPr>
              <w:t>/</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30"/>
          <w:szCs w:val="30"/>
        </w:rPr>
      </w:pPr>
      <w:r>
        <w:rPr>
          <w:rFonts w:hint="eastAsia" w:ascii="仿宋" w:hAnsi="仿宋" w:eastAsia="仿宋" w:cs="仿宋"/>
          <w:b/>
          <w:sz w:val="30"/>
          <w:szCs w:val="30"/>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8"/>
          <w:szCs w:val="28"/>
        </w:rPr>
      </w:pPr>
      <w:r>
        <w:rPr>
          <w:rFonts w:hint="eastAsia" w:ascii="仿宋" w:hAnsi="仿宋" w:eastAsia="仿宋" w:cs="仿宋"/>
          <w:b/>
          <w:sz w:val="28"/>
          <w:szCs w:val="28"/>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28"/>
          <w:szCs w:val="28"/>
        </w:rPr>
      </w:pPr>
      <w:r>
        <w:rPr>
          <w:rFonts w:hint="eastAsia" w:ascii="仿宋" w:hAnsi="仿宋" w:eastAsia="仿宋" w:cs="仿宋"/>
          <w:b/>
          <w:sz w:val="28"/>
          <w:szCs w:val="28"/>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32"/>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3.4.5对于未预留份额专门面向中小企业的采购货物项目，以及预留份额采购货物项目中的非预留部分标项，对小型和微型企业的投标报价给</w:t>
      </w:r>
      <w:r>
        <w:rPr>
          <w:rFonts w:hint="eastAsia" w:ascii="仿宋" w:hAnsi="仿宋" w:eastAsia="仿宋" w:cs="仿宋"/>
          <w:kern w:val="0"/>
          <w:szCs w:val="24"/>
          <w:highlight w:val="none"/>
        </w:rPr>
        <w:t>予</w:t>
      </w:r>
      <w:r>
        <w:rPr>
          <w:rFonts w:hint="eastAsia" w:ascii="仿宋" w:hAnsi="仿宋" w:eastAsia="仿宋" w:cs="仿宋"/>
          <w:kern w:val="0"/>
          <w:szCs w:val="24"/>
          <w:highlight w:val="none"/>
          <w:lang w:val="en-US" w:eastAsia="zh-CN"/>
        </w:rPr>
        <w:t>10%</w:t>
      </w:r>
      <w:r>
        <w:rPr>
          <w:rFonts w:hint="eastAsia" w:ascii="仿宋" w:hAnsi="仿宋" w:eastAsia="仿宋" w:cs="仿宋"/>
          <w:kern w:val="0"/>
          <w:szCs w:val="24"/>
          <w:highlight w:val="none"/>
        </w:rPr>
        <w:t>的扣除，用扣除后的价格参与评审。接受大中型企业与小微企业组成联合体或者允许大中型企业向一家或者多家小微企业分包的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hint="eastAsia" w:ascii="仿宋" w:hAnsi="仿宋" w:eastAsia="仿宋" w:cs="仿宋"/>
          <w:kern w:val="0"/>
          <w:szCs w:val="24"/>
        </w:rPr>
        <w:t>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w:t>
      </w:r>
      <w:r>
        <w:rPr>
          <w:rFonts w:hint="eastAsia" w:ascii="仿宋" w:hAnsi="仿宋" w:eastAsia="仿宋" w:cs="仿宋"/>
          <w:kern w:val="0"/>
          <w:sz w:val="24"/>
          <w:highlight w:val="none"/>
        </w:rPr>
        <w:t>得分且投标报价相同的</w:t>
      </w:r>
      <w:r>
        <w:rPr>
          <w:rFonts w:hint="eastAsia" w:ascii="仿宋" w:hAnsi="仿宋" w:eastAsia="仿宋" w:cs="仿宋"/>
          <w:sz w:val="24"/>
          <w:szCs w:val="21"/>
          <w:lang w:val="zh-CN"/>
        </w:rPr>
        <w:t>按技术得分由高到低顺序排列。</w:t>
      </w:r>
      <w:r>
        <w:rPr>
          <w:rFonts w:hint="eastAsia" w:ascii="仿宋" w:hAnsi="仿宋" w:eastAsia="仿宋" w:cs="仿宋"/>
          <w:kern w:val="0"/>
          <w:sz w:val="24"/>
        </w:rPr>
        <w:t>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32"/>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w:t>
      </w:r>
      <w:r>
        <w:rPr>
          <w:rFonts w:hint="eastAsia" w:ascii="仿宋" w:hAnsi="仿宋" w:eastAsia="仿宋" w:cs="仿宋"/>
          <w:kern w:val="0"/>
          <w:szCs w:val="24"/>
          <w:highlight w:val="none"/>
        </w:rPr>
        <w:t>说明或补正的时间不得少于半小时，</w:t>
      </w:r>
      <w:r>
        <w:rPr>
          <w:rFonts w:hint="eastAsia" w:ascii="仿宋" w:hAnsi="仿宋" w:eastAsia="仿宋" w:cs="仿宋"/>
          <w:kern w:val="0"/>
          <w:szCs w:val="24"/>
        </w:rPr>
        <w:t>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2"/>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7"/>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7"/>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7"/>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7"/>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7"/>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7"/>
        <w:snapToGrid w:val="0"/>
        <w:spacing w:line="360" w:lineRule="auto"/>
        <w:rPr>
          <w:rFonts w:hint="eastAsia" w:ascii="仿宋" w:hAnsi="仿宋" w:eastAsia="仿宋" w:cs="仿宋"/>
        </w:rPr>
      </w:pPr>
      <w:r>
        <w:rPr>
          <w:rFonts w:hint="eastAsia" w:ascii="仿宋" w:hAnsi="仿宋" w:eastAsia="仿宋" w:cs="仿宋"/>
        </w:rPr>
        <w:t>废标后，采购代理机构应当将废标理由通知所有投标人。</w:t>
      </w:r>
    </w:p>
    <w:p>
      <w:pPr>
        <w:pStyle w:val="27"/>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7"/>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7"/>
        <w:snapToGrid w:val="0"/>
        <w:spacing w:line="360" w:lineRule="auto"/>
        <w:rPr>
          <w:rFonts w:hint="eastAsia" w:ascii="仿宋" w:hAnsi="仿宋" w:eastAsia="仿宋" w:cs="仿宋"/>
        </w:rPr>
      </w:pPr>
      <w:r>
        <w:rPr>
          <w:rFonts w:hint="eastAsia" w:ascii="仿宋" w:hAnsi="仿宋" w:eastAsia="仿宋" w:cs="仿宋"/>
        </w:rPr>
        <w:t>7.1未确定中标供应商的，终止本次采购活动，重新开展采购活动。</w:t>
      </w:r>
    </w:p>
    <w:p>
      <w:pPr>
        <w:pStyle w:val="27"/>
        <w:snapToGrid w:val="0"/>
        <w:spacing w:line="360" w:lineRule="auto"/>
        <w:rPr>
          <w:rFonts w:hint="eastAsia" w:ascii="仿宋" w:hAnsi="仿宋" w:eastAsia="仿宋" w:cs="仿宋"/>
        </w:rPr>
      </w:pPr>
      <w:r>
        <w:rPr>
          <w:rFonts w:hint="eastAsia" w:ascii="仿宋" w:hAnsi="仿宋" w:eastAsia="仿宋" w:cs="仿宋"/>
        </w:rPr>
        <w:t>7.2已确定中标供应商但尚未签订采购合同的，中标结果无效，从合格的中标候选人中另行确定中标供应商；没有合格的中标候选人的，重新开展采购活动。</w:t>
      </w:r>
    </w:p>
    <w:p>
      <w:pPr>
        <w:pStyle w:val="27"/>
        <w:snapToGrid w:val="0"/>
        <w:spacing w:line="360" w:lineRule="auto"/>
        <w:rPr>
          <w:rFonts w:hint="eastAsia" w:ascii="仿宋" w:hAnsi="仿宋" w:eastAsia="仿宋" w:cs="仿宋"/>
        </w:rPr>
      </w:pPr>
      <w:r>
        <w:rPr>
          <w:rFonts w:hint="eastAsia" w:ascii="仿宋" w:hAnsi="仿宋" w:eastAsia="仿宋" w:cs="仿宋"/>
        </w:rPr>
        <w:t>7.3采购合同已签订但尚未履行的，撤销合同，从合格的中标候选人中另行确定中标供应商；没有合格的中标候选人的，重新开展采购活动。</w:t>
      </w:r>
    </w:p>
    <w:p>
      <w:pPr>
        <w:pStyle w:val="27"/>
        <w:snapToGrid w:val="0"/>
        <w:spacing w:line="360" w:lineRule="auto"/>
        <w:rPr>
          <w:rFonts w:hint="eastAsia" w:ascii="仿宋" w:hAnsi="仿宋" w:eastAsia="仿宋" w:cs="仿宋"/>
        </w:rPr>
      </w:pPr>
      <w:r>
        <w:rPr>
          <w:rFonts w:hint="eastAsia" w:ascii="仿宋" w:hAnsi="仿宋" w:eastAsia="仿宋" w:cs="仿宋"/>
        </w:rPr>
        <w:t>7.4采购合同已经履行，给采购人、供应商造成损失的，由责任人承担赔偿责任。</w:t>
      </w:r>
    </w:p>
    <w:p>
      <w:pPr>
        <w:pStyle w:val="27"/>
        <w:snapToGrid w:val="0"/>
        <w:spacing w:line="360" w:lineRule="auto"/>
        <w:rPr>
          <w:rFonts w:hint="eastAsia" w:ascii="仿宋" w:hAnsi="仿宋" w:eastAsia="仿宋" w:cs="仿宋"/>
        </w:rPr>
      </w:pPr>
      <w:r>
        <w:rPr>
          <w:rFonts w:hint="eastAsia" w:ascii="仿宋" w:hAnsi="仿宋" w:eastAsia="仿宋" w:cs="仿宋"/>
        </w:rPr>
        <w:t>7.5采购当事人有其他违反政府采购法或者政府采购法实施条例等法律法规规定的行为，经改正后仍然影响或者可能影响中标结果或者依法被认定为中标无效的，依照7.1-7.4规定处理。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hint="eastAsia" w:ascii="仿宋" w:hAnsi="仿宋" w:eastAsia="仿宋" w:cs="仿宋"/>
        </w:rPr>
      </w:pPr>
    </w:p>
    <w:bookmarkEnd w:id="29"/>
    <w:p>
      <w:pPr>
        <w:spacing w:line="360" w:lineRule="auto"/>
        <w:ind w:left="720" w:leftChars="343" w:firstLine="1084" w:firstLineChars="300"/>
        <w:outlineLvl w:val="0"/>
        <w:rPr>
          <w:rFonts w:hint="eastAsia" w:ascii="仿宋" w:hAnsi="仿宋" w:eastAsia="仿宋" w:cs="仿宋"/>
          <w:b/>
          <w:sz w:val="36"/>
          <w:szCs w:val="36"/>
        </w:rPr>
      </w:pPr>
      <w:bookmarkStart w:id="395" w:name="第五部分"/>
      <w:bookmarkStart w:id="396" w:name="_Toc86217003"/>
    </w:p>
    <w:p>
      <w:pPr>
        <w:spacing w:line="360" w:lineRule="auto"/>
        <w:ind w:left="720" w:leftChars="343" w:firstLine="1084" w:firstLineChars="300"/>
        <w:outlineLvl w:val="0"/>
        <w:rPr>
          <w:rFonts w:hint="eastAsia" w:ascii="仿宋" w:hAnsi="仿宋" w:eastAsia="仿宋" w:cs="仿宋"/>
          <w:b/>
          <w:sz w:val="36"/>
          <w:szCs w:val="36"/>
        </w:rPr>
        <w:sectPr>
          <w:pgSz w:w="11907" w:h="16840"/>
          <w:pgMar w:top="1474" w:right="1814" w:bottom="1474" w:left="1814" w:header="851" w:footer="851" w:gutter="0"/>
          <w:cols w:space="720" w:num="1"/>
        </w:sect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（货物类）</w:t>
      </w:r>
    </w:p>
    <w:p>
      <w:pPr>
        <w:pStyle w:val="700"/>
        <w:rPr>
          <w:rFonts w:hint="eastAsia" w:ascii="仿宋" w:hAnsi="仿宋" w:eastAsia="仿宋" w:cs="仿宋"/>
          <w:szCs w:val="24"/>
        </w:rPr>
      </w:pPr>
    </w:p>
    <w:p>
      <w:pPr>
        <w:pStyle w:val="700"/>
        <w:rPr>
          <w:rFonts w:hint="eastAsia" w:ascii="仿宋" w:hAnsi="仿宋" w:eastAsia="仿宋" w:cs="仿宋"/>
          <w:szCs w:val="24"/>
        </w:rPr>
      </w:pPr>
    </w:p>
    <w:p>
      <w:pPr>
        <w:pStyle w:val="700"/>
        <w:jc w:val="center"/>
        <w:rPr>
          <w:rFonts w:hint="eastAsia" w:ascii="仿宋" w:hAnsi="仿宋" w:eastAsia="仿宋" w:cs="仿宋"/>
          <w:szCs w:val="24"/>
        </w:rPr>
      </w:pPr>
    </w:p>
    <w:p>
      <w:pPr>
        <w:pStyle w:val="700"/>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pStyle w:val="700"/>
        <w:rPr>
          <w:rFonts w:hint="eastAsia" w:ascii="仿宋" w:hAnsi="仿宋" w:eastAsia="仿宋" w:cs="仿宋"/>
          <w:szCs w:val="24"/>
        </w:rPr>
      </w:pPr>
    </w:p>
    <w:p>
      <w:pPr>
        <w:pStyle w:val="700"/>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9"/>
        <w:spacing w:before="120" w:line="22" w:lineRule="atLeast"/>
        <w:rPr>
          <w:rFonts w:hint="eastAsia" w:ascii="仿宋" w:hAnsi="仿宋" w:eastAsia="仿宋" w:cs="仿宋"/>
          <w:szCs w:val="24"/>
        </w:rPr>
      </w:pPr>
    </w:p>
    <w:p>
      <w:pPr>
        <w:pStyle w:val="599"/>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color w:val="0000FF"/>
          <w:sz w:val="24"/>
          <w:u w:val="single"/>
        </w:rPr>
        <w:t>（</w:t>
      </w:r>
      <w:r>
        <w:rPr>
          <w:rFonts w:hint="eastAsia" w:ascii="仿宋" w:hAnsi="仿宋" w:eastAsia="仿宋" w:cs="仿宋"/>
          <w:sz w:val="24"/>
          <w:u w:val="single"/>
        </w:rPr>
        <w:t xml:space="preserve">采购人）   </w:t>
      </w:r>
      <w:r>
        <w:rPr>
          <w:rFonts w:hint="eastAsia" w:ascii="仿宋" w:hAnsi="仿宋" w:eastAsia="仿宋" w:cs="仿宋"/>
          <w:sz w:val="24"/>
        </w:rPr>
        <w:t>以</w:t>
      </w:r>
      <w:r>
        <w:rPr>
          <w:rFonts w:hint="eastAsia" w:ascii="仿宋" w:hAnsi="仿宋" w:eastAsia="仿宋" w:cs="仿宋"/>
          <w:sz w:val="24"/>
          <w:u w:val="single"/>
        </w:rPr>
        <w:t xml:space="preserve">   （采购方式）  </w:t>
      </w:r>
      <w:r>
        <w:rPr>
          <w:rFonts w:hint="eastAsia" w:ascii="仿宋" w:hAnsi="仿宋" w:eastAsia="仿宋" w:cs="仿宋"/>
          <w:sz w:val="24"/>
        </w:rPr>
        <w:t>对</w:t>
      </w:r>
      <w:r>
        <w:rPr>
          <w:rFonts w:hint="eastAsia" w:ascii="仿宋" w:hAnsi="仿宋" w:eastAsia="仿宋" w:cs="仿宋"/>
          <w:sz w:val="24"/>
          <w:u w:val="single"/>
        </w:rPr>
        <w:t xml:space="preserve">   （项目名称、编号）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（中标或者成交供应商名称）</w:t>
      </w:r>
      <w:r>
        <w:rPr>
          <w:rFonts w:hint="eastAsia" w:ascii="仿宋" w:hAnsi="仿宋" w:eastAsia="仿宋" w:cs="仿宋"/>
          <w:sz w:val="24"/>
        </w:rPr>
        <w:t>为该项目中标或者成交供应商。现于中标或者成交通知书发出之日起10个工作日内，按照采购文件等确定的事项签订本合同。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（中标或者成交供应商名称）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tabs>
          <w:tab w:val="left" w:pos="3584"/>
        </w:tabs>
        <w:spacing w:line="360" w:lineRule="auto"/>
        <w:ind w:firstLine="472" w:firstLineChars="196"/>
        <w:jc w:val="both"/>
        <w:rPr>
          <w:rFonts w:hint="eastAsia" w:ascii="仿宋" w:hAnsi="仿宋" w:eastAsia="仿宋" w:cs="仿宋"/>
          <w:b/>
          <w:color w:val="auto"/>
          <w:sz w:val="24"/>
        </w:rPr>
      </w:pPr>
      <w:r>
        <w:rPr>
          <w:rFonts w:hint="eastAsia" w:ascii="仿宋" w:hAnsi="仿宋" w:eastAsia="仿宋" w:cs="仿宋"/>
          <w:b/>
          <w:color w:val="auto"/>
          <w:sz w:val="24"/>
        </w:rPr>
        <w:t>第一条  合同标的</w:t>
      </w:r>
    </w:p>
    <w:p>
      <w:pPr>
        <w:tabs>
          <w:tab w:val="left" w:pos="3584"/>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 xml:space="preserve">本合同标的： </w:t>
      </w:r>
    </w:p>
    <w:p>
      <w:pPr>
        <w:tabs>
          <w:tab w:val="left" w:pos="3584"/>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具体包括：船舶制造、装修、配套设备安装、调试、全船试验、交船工作,以及不少于</w:t>
      </w:r>
      <w:r>
        <w:rPr>
          <w:rFonts w:hint="eastAsia" w:ascii="仿宋" w:hAnsi="仿宋" w:eastAsia="仿宋" w:cs="仿宋"/>
          <w:color w:val="auto"/>
          <w:sz w:val="24"/>
          <w:lang w:val="en-US" w:eastAsia="zh-CN"/>
        </w:rPr>
        <w:t>1</w:t>
      </w:r>
      <w:r>
        <w:rPr>
          <w:rFonts w:hint="eastAsia" w:ascii="仿宋" w:hAnsi="仿宋" w:eastAsia="仿宋" w:cs="仿宋"/>
          <w:color w:val="auto"/>
          <w:sz w:val="24"/>
        </w:rPr>
        <w:t>年（含）的免费售后现场技术支持服务及免费质量保修服务。</w:t>
      </w:r>
    </w:p>
    <w:p>
      <w:pPr>
        <w:tabs>
          <w:tab w:val="left" w:pos="3584"/>
        </w:tabs>
        <w:spacing w:line="360" w:lineRule="auto"/>
        <w:ind w:firstLine="482" w:firstLineChars="200"/>
        <w:jc w:val="both"/>
        <w:rPr>
          <w:rFonts w:hint="eastAsia" w:ascii="仿宋" w:hAnsi="仿宋" w:eastAsia="仿宋" w:cs="仿宋"/>
          <w:b/>
          <w:color w:val="auto"/>
          <w:sz w:val="24"/>
        </w:rPr>
      </w:pPr>
      <w:r>
        <w:rPr>
          <w:rFonts w:hint="eastAsia" w:ascii="仿宋" w:hAnsi="仿宋" w:eastAsia="仿宋" w:cs="仿宋"/>
          <w:b/>
          <w:color w:val="auto"/>
          <w:sz w:val="24"/>
        </w:rPr>
        <w:t>第二条  技术依据及要求</w:t>
      </w:r>
    </w:p>
    <w:p>
      <w:pPr>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2.1建造依据</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 xml:space="preserve">经建造地船检批准的技术图纸资料建造。 </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2.2船级、规范和规则</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满足国家海事局《内河船舶法定检验技术规则》及相适应的船舶检验规范、标准对内河</w:t>
      </w:r>
      <w:r>
        <w:rPr>
          <w:rFonts w:hint="eastAsia" w:ascii="仿宋" w:hAnsi="仿宋" w:eastAsia="仿宋" w:cs="仿宋"/>
          <w:color w:val="auto"/>
          <w:sz w:val="24"/>
          <w:lang w:val="en-US" w:eastAsia="zh-CN"/>
        </w:rPr>
        <w:t>C</w:t>
      </w:r>
      <w:r>
        <w:rPr>
          <w:rFonts w:hint="eastAsia" w:ascii="仿宋" w:hAnsi="仿宋" w:eastAsia="仿宋" w:cs="仿宋"/>
          <w:color w:val="auto"/>
          <w:sz w:val="24"/>
        </w:rPr>
        <w:t>级航区船舶的要求。</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2.3船舶的主要性能及主尺度（具体以图纸为准）</w:t>
      </w:r>
    </w:p>
    <w:p>
      <w:pPr>
        <w:numPr>
          <w:ilvl w:val="0"/>
          <w:numId w:val="6"/>
        </w:numPr>
        <w:tabs>
          <w:tab w:val="left" w:pos="525"/>
        </w:tabs>
        <w:spacing w:line="360" w:lineRule="auto"/>
        <w:jc w:val="both"/>
        <w:rPr>
          <w:rFonts w:hint="eastAsia" w:ascii="仿宋" w:hAnsi="仿宋" w:eastAsia="仿宋" w:cs="仿宋"/>
          <w:b/>
          <w:color w:val="auto"/>
          <w:sz w:val="24"/>
        </w:rPr>
      </w:pPr>
      <w:r>
        <w:rPr>
          <w:rFonts w:hint="eastAsia" w:ascii="仿宋" w:hAnsi="仿宋" w:eastAsia="仿宋" w:cs="仿宋"/>
          <w:b/>
          <w:color w:val="auto"/>
          <w:sz w:val="24"/>
        </w:rPr>
        <w:t>合同价格及支付条件</w:t>
      </w:r>
      <w:r>
        <w:rPr>
          <w:rFonts w:hint="eastAsia" w:ascii="仿宋" w:hAnsi="仿宋" w:eastAsia="仿宋" w:cs="仿宋"/>
          <w:color w:val="auto"/>
          <w:sz w:val="24"/>
        </w:rPr>
        <w:t>：</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3.1合同价格</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3.1.1本合同标的总价为</w:t>
      </w:r>
      <w:r>
        <w:rPr>
          <w:rFonts w:hint="eastAsia" w:ascii="仿宋" w:hAnsi="仿宋" w:eastAsia="仿宋" w:cs="仿宋"/>
          <w:b/>
          <w:color w:val="auto"/>
          <w:sz w:val="24"/>
          <w:u w:val="single"/>
        </w:rPr>
        <w:t xml:space="preserve">                              </w:t>
      </w:r>
      <w:r>
        <w:rPr>
          <w:rFonts w:hint="eastAsia" w:ascii="仿宋" w:hAnsi="仿宋" w:eastAsia="仿宋" w:cs="仿宋"/>
          <w:color w:val="auto"/>
          <w:sz w:val="24"/>
        </w:rPr>
        <w:t>。</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3.2支付条件</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船舶建造费的支付按照进度支付，具体为：</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3.2.1合同签订后7天内支付合同总价40%预付款；船体建造完成后并通过建造地船检部门完成各项试验试航，检验合格并交付后，支付合同价的55％。</w:t>
      </w:r>
      <w:r>
        <w:rPr>
          <w:rFonts w:hint="eastAsia" w:ascii="仿宋" w:hAnsi="仿宋" w:eastAsia="仿宋" w:cs="仿宋"/>
          <w:color w:val="auto"/>
          <w:sz w:val="24"/>
          <w:highlight w:val="none"/>
          <w:lang w:eastAsia="zh-CN"/>
        </w:rPr>
        <w:t>剩余合同款的5%待中标方承诺的质保期满无质量问题</w:t>
      </w:r>
      <w:r>
        <w:rPr>
          <w:rFonts w:hint="eastAsia" w:ascii="仿宋" w:hAnsi="仿宋" w:eastAsia="仿宋" w:cs="仿宋"/>
          <w:color w:val="auto"/>
          <w:sz w:val="24"/>
          <w:highlight w:val="none"/>
          <w:lang w:val="en-US" w:eastAsia="zh-CN"/>
        </w:rPr>
        <w:t>后</w:t>
      </w:r>
      <w:r>
        <w:rPr>
          <w:rFonts w:hint="eastAsia" w:ascii="仿宋" w:hAnsi="仿宋" w:eastAsia="仿宋" w:cs="仿宋"/>
          <w:color w:val="auto"/>
          <w:sz w:val="24"/>
          <w:highlight w:val="none"/>
          <w:lang w:eastAsia="zh-CN"/>
        </w:rPr>
        <w:t>支付（无息）</w:t>
      </w:r>
    </w:p>
    <w:p>
      <w:pPr>
        <w:spacing w:line="360" w:lineRule="auto"/>
        <w:ind w:firstLine="482"/>
        <w:jc w:val="both"/>
        <w:rPr>
          <w:rFonts w:hint="eastAsia" w:ascii="仿宋" w:hAnsi="仿宋" w:eastAsia="仿宋" w:cs="仿宋"/>
          <w:color w:val="auto"/>
          <w:sz w:val="24"/>
        </w:rPr>
      </w:pPr>
      <w:r>
        <w:rPr>
          <w:rFonts w:hint="eastAsia" w:ascii="仿宋" w:hAnsi="仿宋" w:eastAsia="仿宋" w:cs="仿宋"/>
          <w:color w:val="auto"/>
          <w:sz w:val="24"/>
          <w:lang w:val="en-US" w:eastAsia="zh-CN"/>
        </w:rPr>
        <w:t>3.2.2</w:t>
      </w:r>
      <w:r>
        <w:rPr>
          <w:rFonts w:hint="eastAsia" w:ascii="仿宋" w:hAnsi="仿宋" w:eastAsia="仿宋" w:cs="仿宋"/>
          <w:color w:val="auto"/>
          <w:sz w:val="24"/>
        </w:rPr>
        <w:t>乙方根据甲方招标要求设计定稿并通过图审的船舶方案范围内的施工内容总价不予调整，但在施工过程中如甲方要求对方案进行变更，或因船舶设计、建造、检验相关法律法规、规范变化而本船必须遵守而进行修改或变更导致增减的费用的除外，此部分按以下方式结算。</w:t>
      </w:r>
    </w:p>
    <w:p>
      <w:pPr>
        <w:spacing w:line="360" w:lineRule="auto"/>
        <w:ind w:firstLine="482"/>
        <w:jc w:val="both"/>
        <w:rPr>
          <w:rFonts w:hint="eastAsia" w:ascii="仿宋" w:hAnsi="仿宋" w:eastAsia="仿宋" w:cs="仿宋"/>
          <w:color w:val="auto"/>
          <w:sz w:val="24"/>
        </w:rPr>
      </w:pPr>
      <w:r>
        <w:rPr>
          <w:rFonts w:hint="eastAsia" w:ascii="仿宋" w:hAnsi="仿宋" w:eastAsia="仿宋" w:cs="仿宋"/>
          <w:color w:val="auto"/>
          <w:sz w:val="24"/>
        </w:rPr>
        <w:t>变更部分结算价=（变更工程量*变更工程综合单价+规费+税金）*（工程费投标价÷工程费最高限价）</w:t>
      </w:r>
    </w:p>
    <w:p>
      <w:pPr>
        <w:spacing w:line="360" w:lineRule="auto"/>
        <w:ind w:firstLine="482"/>
        <w:jc w:val="both"/>
        <w:rPr>
          <w:rFonts w:hint="eastAsia" w:ascii="仿宋" w:hAnsi="仿宋" w:eastAsia="仿宋" w:cs="仿宋"/>
          <w:color w:val="auto"/>
          <w:sz w:val="24"/>
        </w:rPr>
      </w:pPr>
      <w:r>
        <w:rPr>
          <w:rFonts w:hint="eastAsia" w:ascii="仿宋" w:hAnsi="仿宋" w:eastAsia="仿宋" w:cs="仿宋"/>
          <w:color w:val="auto"/>
          <w:sz w:val="24"/>
        </w:rPr>
        <w:t>本工程项目单价重新组价采用的依据为：《浙江省房屋建筑与装饰工程预算定额》（2018版）；《浙江省通用安装工程预算定额》（2018版）；《浙江省市政工程预算定额》（2018版）；《浙江省建设工程计价规则》（2018版）。</w:t>
      </w:r>
    </w:p>
    <w:p>
      <w:pPr>
        <w:numPr>
          <w:ilvl w:val="0"/>
          <w:numId w:val="6"/>
        </w:numPr>
        <w:tabs>
          <w:tab w:val="left" w:pos="525"/>
        </w:tabs>
        <w:spacing w:line="360" w:lineRule="auto"/>
        <w:jc w:val="both"/>
        <w:rPr>
          <w:rFonts w:hint="eastAsia" w:ascii="仿宋" w:hAnsi="仿宋" w:eastAsia="仿宋" w:cs="仿宋"/>
          <w:b/>
          <w:color w:val="auto"/>
          <w:sz w:val="24"/>
        </w:rPr>
      </w:pPr>
      <w:r>
        <w:rPr>
          <w:rFonts w:hint="eastAsia" w:ascii="仿宋" w:hAnsi="仿宋" w:eastAsia="仿宋" w:cs="仿宋"/>
          <w:b/>
          <w:color w:val="auto"/>
          <w:sz w:val="24"/>
        </w:rPr>
        <w:t xml:space="preserve"> 交船</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 xml:space="preserve">4.1交船时间：    </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若本合同履行过程中出现下列情形之一，造成交船时间延长的，交船时间相应顺延：</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（1）因不可抗力造成延误的；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（2）因经双方协商一致导致项目更改或增加所造成延误的；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（3）因船舶设计、检验相关法律法规或建造规范变更而本船必须遵守所造成延误的；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（4）因甲方未按约定提交资料，影响乙方办理相关手续或影响工程进度所造成延误的；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（5）因甲方未按约定参加试航或验收手续所造成延误的；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（6）因甲方未按约定及时接船所造成延误的；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（7）因甲方未按约定按时支付款项的；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（8）因甲方审图或甲方要求对设计方案、技术规格书等原定的方案进行修改或变动所造成延误的；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（9）因甲方所提供或自购的材料和设备未按时提供或存在质量缺陷，或甲方指定供货商、工程队时该供应商或工程队所造成延误的；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（10）若乙方提出需要甲方明确答复或签名确认的事项时，甲方未及时回复或确认所造成延误的；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（11）其它因甲方原因所造成延误的。</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（12）若因乙方自身原因所造成</w:t>
      </w:r>
      <w:r>
        <w:rPr>
          <w:rFonts w:hint="eastAsia" w:ascii="仿宋" w:hAnsi="仿宋" w:eastAsia="仿宋" w:cs="仿宋"/>
          <w:color w:val="auto"/>
          <w:sz w:val="24"/>
          <w:lang w:eastAsia="zh-CN"/>
        </w:rPr>
        <w:t>的</w:t>
      </w:r>
      <w:r>
        <w:rPr>
          <w:rFonts w:hint="eastAsia" w:ascii="仿宋" w:hAnsi="仿宋" w:eastAsia="仿宋" w:cs="仿宋"/>
          <w:color w:val="auto"/>
          <w:sz w:val="24"/>
        </w:rPr>
        <w:t>延误，甲方有权履行本合同第八条相关条款。</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4.2交船地点：甲方指定码头。</w:t>
      </w:r>
    </w:p>
    <w:p>
      <w:pPr>
        <w:tabs>
          <w:tab w:val="left" w:pos="42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4.3交接船条件：</w:t>
      </w:r>
    </w:p>
    <w:p>
      <w:pPr>
        <w:tabs>
          <w:tab w:val="left" w:pos="525"/>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交接船签字前，船舶经过试航后达到并符合合同要求，其中故障和隐患均已排除或解决，并使</w:t>
      </w:r>
      <w:r>
        <w:rPr>
          <w:rFonts w:hint="eastAsia" w:ascii="仿宋" w:hAnsi="仿宋" w:eastAsia="仿宋" w:cs="仿宋"/>
          <w:color w:val="auto"/>
          <w:sz w:val="24"/>
          <w:lang w:val="en-US" w:eastAsia="zh-CN"/>
        </w:rPr>
        <w:t>甲方</w:t>
      </w:r>
      <w:r>
        <w:rPr>
          <w:rFonts w:hint="eastAsia" w:ascii="仿宋" w:hAnsi="仿宋" w:eastAsia="仿宋" w:cs="仿宋"/>
          <w:color w:val="auto"/>
          <w:sz w:val="24"/>
        </w:rPr>
        <w:t>满意，所有的技术资料和图纸均已向</w:t>
      </w:r>
      <w:r>
        <w:rPr>
          <w:rFonts w:hint="eastAsia" w:ascii="仿宋" w:hAnsi="仿宋" w:eastAsia="仿宋" w:cs="仿宋"/>
          <w:color w:val="auto"/>
          <w:sz w:val="24"/>
          <w:lang w:val="en-US" w:eastAsia="zh-CN"/>
        </w:rPr>
        <w:t>甲方</w:t>
      </w:r>
      <w:r>
        <w:rPr>
          <w:rFonts w:hint="eastAsia" w:ascii="仿宋" w:hAnsi="仿宋" w:eastAsia="仿宋" w:cs="仿宋"/>
          <w:color w:val="auto"/>
          <w:sz w:val="24"/>
        </w:rPr>
        <w:t>提交并接受，</w:t>
      </w:r>
      <w:r>
        <w:rPr>
          <w:rFonts w:hint="eastAsia" w:ascii="仿宋" w:hAnsi="仿宋" w:eastAsia="仿宋" w:cs="仿宋"/>
          <w:color w:val="auto"/>
          <w:sz w:val="24"/>
          <w:lang w:val="en-US" w:eastAsia="zh-CN"/>
        </w:rPr>
        <w:t>初步</w:t>
      </w:r>
      <w:r>
        <w:rPr>
          <w:rFonts w:hint="eastAsia" w:ascii="仿宋" w:hAnsi="仿宋" w:eastAsia="仿宋" w:cs="仿宋"/>
          <w:color w:val="auto"/>
          <w:sz w:val="24"/>
        </w:rPr>
        <w:t>验收视为合格，双方签署验收证书，并办妥船舶检验证书后</w:t>
      </w:r>
      <w:r>
        <w:rPr>
          <w:rFonts w:hint="eastAsia" w:ascii="仿宋" w:hAnsi="仿宋" w:eastAsia="仿宋" w:cs="仿宋"/>
          <w:color w:val="auto"/>
          <w:sz w:val="24"/>
          <w:lang w:val="en-US" w:eastAsia="zh-CN"/>
        </w:rPr>
        <w:t>视为乙方终验合格</w:t>
      </w:r>
      <w:r>
        <w:rPr>
          <w:rFonts w:hint="eastAsia" w:ascii="仿宋" w:hAnsi="仿宋" w:eastAsia="仿宋" w:cs="仿宋"/>
          <w:color w:val="auto"/>
          <w:sz w:val="24"/>
        </w:rPr>
        <w:t>。若因成交供应商产品质量或安装技术问题导致验收不合格，成交供应商应及时予以处理，直至验收合格并办妥船舶检验证书，期间发生的一切相关费用由成交供应商承担，采购人保留向成交供应商索赔的权力；交船时，船舶应处于彻底清洁状态。</w:t>
      </w:r>
    </w:p>
    <w:p>
      <w:pPr>
        <w:tabs>
          <w:tab w:val="left" w:pos="525"/>
        </w:tabs>
        <w:spacing w:line="360" w:lineRule="auto"/>
        <w:ind w:left="560"/>
        <w:jc w:val="both"/>
        <w:rPr>
          <w:rFonts w:hint="eastAsia" w:ascii="仿宋" w:hAnsi="仿宋" w:eastAsia="仿宋" w:cs="仿宋"/>
          <w:color w:val="auto"/>
          <w:sz w:val="24"/>
        </w:rPr>
      </w:pPr>
      <w:r>
        <w:rPr>
          <w:rFonts w:hint="eastAsia" w:ascii="仿宋" w:hAnsi="仿宋" w:eastAsia="仿宋" w:cs="仿宋"/>
          <w:color w:val="auto"/>
          <w:sz w:val="24"/>
        </w:rPr>
        <w:t>4.4交接船文件：</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船舶建造完工证明书；</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船舶检验证书薄正本一份</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按规定必须取得的船用产品检验证书；</w:t>
      </w:r>
    </w:p>
    <w:p>
      <w:pPr>
        <w:numPr>
          <w:ilvl w:val="0"/>
          <w:numId w:val="7"/>
        </w:numPr>
        <w:tabs>
          <w:tab w:val="left" w:pos="525"/>
        </w:tabs>
        <w:spacing w:line="360" w:lineRule="auto"/>
        <w:jc w:val="both"/>
        <w:rPr>
          <w:rFonts w:hint="eastAsia" w:ascii="仿宋" w:hAnsi="仿宋" w:eastAsia="仿宋" w:cs="仿宋"/>
          <w:color w:val="auto"/>
          <w:sz w:val="24"/>
        </w:rPr>
      </w:pPr>
      <w:r>
        <w:rPr>
          <w:rFonts w:hint="eastAsia" w:ascii="仿宋" w:hAnsi="仿宋" w:eastAsia="仿宋" w:cs="仿宋"/>
          <w:color w:val="auto"/>
          <w:sz w:val="24"/>
        </w:rPr>
        <w:t>交接船协议书；</w:t>
      </w:r>
    </w:p>
    <w:p>
      <w:pPr>
        <w:tabs>
          <w:tab w:val="left" w:pos="525"/>
          <w:tab w:val="left" w:pos="840"/>
          <w:tab w:val="left" w:pos="380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第五条  监造与验收</w:t>
      </w:r>
      <w:r>
        <w:rPr>
          <w:rFonts w:hint="eastAsia" w:ascii="仿宋" w:hAnsi="仿宋" w:eastAsia="仿宋" w:cs="仿宋"/>
          <w:b/>
          <w:color w:val="auto"/>
          <w:sz w:val="24"/>
        </w:rPr>
        <w:tab/>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 xml:space="preserve">5.1本船建造涉及的所有材料由乙方负责按照图纸、技术参数、设备配置要求采购或自制，重要设备采购应征得甲方同意。 </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5.2乙方由于材料、设备、备件、供应品订货困难等原因影响建造进度时，须征得甲方同意后，应采用符合船检要求的同档次代用品。涉及船舶性能及船检规范的，还应征得船检及设计部门的同意。</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5.3本合同签署生效后，甲方将委派代表驻厂进行监造，乙方应为驻厂代表提供工作及生活上的方便。</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5.4船舶开工前，乙方应向甲方提供一份工程进度表。</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5.5在监造中提出的问题，乙方应在五天内给予书面答复。</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5.6所有法定检验项目，乙方必须提前七天通知甲方，检验项目应具有完整性，其它一般项目，提前二天通知甲方。</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5.7对于任何一处内装修封闭前，</w:t>
      </w:r>
      <w:r>
        <w:rPr>
          <w:rFonts w:hint="eastAsia" w:ascii="仿宋" w:hAnsi="仿宋" w:eastAsia="仿宋" w:cs="仿宋"/>
          <w:color w:val="auto"/>
          <w:sz w:val="24"/>
          <w:lang w:val="en-US" w:eastAsia="zh-CN"/>
        </w:rPr>
        <w:t>乙方必须提前通知甲方驻厂代表，且</w:t>
      </w:r>
      <w:r>
        <w:rPr>
          <w:rFonts w:hint="eastAsia" w:ascii="仿宋" w:hAnsi="仿宋" w:eastAsia="仿宋" w:cs="仿宋"/>
          <w:color w:val="auto"/>
          <w:sz w:val="24"/>
        </w:rPr>
        <w:t>必须经驻厂代表检查其内部情况并进行现场记录认可，否则，驻厂代表有权要求拆开检查</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费用由乙方承担</w:t>
      </w:r>
      <w:r>
        <w:rPr>
          <w:rFonts w:hint="eastAsia" w:ascii="仿宋" w:hAnsi="仿宋" w:eastAsia="仿宋" w:cs="仿宋"/>
          <w:color w:val="auto"/>
          <w:sz w:val="24"/>
        </w:rPr>
        <w:t>。</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5.8本船建造过程中，如发生项目变更，必须征得甲方同意并出具联系单，经甲、乙、监理三方确认的联系单视为有效。</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5.9本船建造过程中，如甲方提出额外增加的项目，乙方须依照投标价格执行，投标中未涉及项目，乙方依照市价</w:t>
      </w:r>
      <w:r>
        <w:rPr>
          <w:rFonts w:hint="eastAsia" w:ascii="仿宋" w:hAnsi="仿宋" w:eastAsia="仿宋" w:cs="仿宋"/>
          <w:color w:val="auto"/>
          <w:sz w:val="24"/>
          <w:u w:val="single"/>
        </w:rPr>
        <w:t xml:space="preserve">   </w:t>
      </w:r>
      <w:r>
        <w:rPr>
          <w:rFonts w:hint="eastAsia" w:ascii="仿宋" w:hAnsi="仿宋" w:eastAsia="仿宋" w:cs="仿宋"/>
          <w:color w:val="auto"/>
          <w:sz w:val="24"/>
        </w:rPr>
        <w:t>%的优惠为甲方提供。</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5.10试验和试航</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5.10.1系泊试验和试航均按认可的“试车试航大纲”进行。</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5.10.2试航由乙方组织进行，费用由乙方承担。</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5.10.3试航和验收地点：乙方建造场所及附近水域。如甲方如有特殊情况不能派员或不能按时派员参加试航和验收及检查，乙方经过甲方同意，可直接在外部船检机构的参与下进行试航和检验，经船检机构验船师签认的试航及检验有关测试数据记录或报告，甲方接受，并按乙方通知的期限内接船。</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第六条  质量保证</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6.1本船建造质量应符合本合同所确定的国家有关船舶建造的规范、规则及乙方在报价标书中所承诺的有关标准、规范和质量保证体系，取得船舶检验证书。</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6.2缺陷的责任及范围</w:t>
      </w:r>
    </w:p>
    <w:p>
      <w:pPr>
        <w:spacing w:line="460" w:lineRule="exact"/>
        <w:ind w:firstLine="360" w:firstLineChars="150"/>
        <w:jc w:val="both"/>
        <w:rPr>
          <w:rFonts w:hint="eastAsia" w:ascii="仿宋" w:hAnsi="仿宋" w:eastAsia="仿宋" w:cs="仿宋"/>
          <w:color w:val="auto"/>
          <w:sz w:val="24"/>
        </w:rPr>
      </w:pPr>
      <w:r>
        <w:rPr>
          <w:rFonts w:hint="eastAsia" w:ascii="仿宋" w:hAnsi="仿宋" w:eastAsia="仿宋" w:cs="仿宋"/>
          <w:color w:val="auto"/>
          <w:sz w:val="24"/>
        </w:rPr>
        <w:t xml:space="preserve">  自双方签署本船《交接船协议书》之日起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个月内为本船质量保证期，在此期间凡属乙方施工、工艺以及材料、设备质量而引起的缺陷、故障和损坏，由乙方负责免费修理或更换。乙方应当在收到甲方修理请求之日起十个工作日内予以修理。乙方不予修理或迟延修理的，甲方有权将质量保证金予以扣留。凡属甲方操作或保养使用不当造成的损坏、故障和缺陷以及易损件的正常磨损，由乙方负责修复，甲方承担费用。甲方所提供的产品或设备或配件出现质量问题的，乙方不承担责任。</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6.3缺陷的处理</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甲方在保修期内发现属于保修范围内的任何缺陷将及时通知乙方，乙方应派员在第一时间抵达现场，抵达时间为48小时内，属配套设备厂家的项目由乙方负责督促其按有关服务计划如期到达；若乙方在接到甲方的通知后无正当理由而未能及时到场服务，甲方为保证船舶安全营运的需要，有权另行组织修理，所发生的修理费用（修理费包括但不限于修理费、人工费、运输费、材料费等）在该质量保证金中抵扣。如质量保证金不够，则乙方还需向甲方支付修理费的不足部分。</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第七条   合同的变更及修改</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7.1本合同生效后，甲乙双方都要严格遵守执行，如甲乙双方任何一方无正当理由提出解除、停止执行合同，因此而给对方造成的经济损失由提出方负责赔偿。</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7.2在本合同签约后的施工过程中，任何一方修改变更本合同内容，须经双方认可并签订变更的补充协议，该协议为本合同的不可分割部分。修改变更引起合同交船期的变更、价格的调整及其它问题均以双方签署的补充协议为准。其中价格的调整幅度按实计。</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7.3本船建造所遵循的规范、规程、规则、标准等文件，如在本合同签约后出现修改并要求本船遵守时，由此修改而引起的费用增减、交船期的变更，甲乙双方另行协商解决。</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7.4如果产品与甲方提出的质量要求和技术规格存在差异，则乙方应按下述方法进行补偿：</w:t>
      </w:r>
    </w:p>
    <w:p>
      <w:pPr>
        <w:numPr>
          <w:ilvl w:val="0"/>
          <w:numId w:val="8"/>
        </w:numPr>
        <w:tabs>
          <w:tab w:val="left" w:pos="525"/>
          <w:tab w:val="left" w:pos="840"/>
        </w:tabs>
        <w:spacing w:line="360" w:lineRule="auto"/>
        <w:ind w:hanging="138"/>
        <w:jc w:val="both"/>
        <w:rPr>
          <w:rFonts w:hint="eastAsia" w:ascii="仿宋" w:hAnsi="仿宋" w:eastAsia="仿宋" w:cs="仿宋"/>
          <w:color w:val="auto"/>
          <w:sz w:val="24"/>
        </w:rPr>
      </w:pPr>
      <w:r>
        <w:rPr>
          <w:rFonts w:hint="eastAsia" w:ascii="仿宋" w:hAnsi="仿宋" w:eastAsia="仿宋" w:cs="仿宋"/>
          <w:color w:val="auto"/>
          <w:sz w:val="24"/>
        </w:rPr>
        <w:t>应用符合要求的新品更换有缺陷的部件；</w:t>
      </w:r>
    </w:p>
    <w:p>
      <w:pPr>
        <w:numPr>
          <w:ilvl w:val="0"/>
          <w:numId w:val="8"/>
        </w:numPr>
        <w:tabs>
          <w:tab w:val="left" w:pos="525"/>
          <w:tab w:val="left" w:pos="840"/>
        </w:tabs>
        <w:spacing w:line="360" w:lineRule="auto"/>
        <w:ind w:hanging="138"/>
        <w:jc w:val="both"/>
        <w:rPr>
          <w:rFonts w:hint="eastAsia" w:ascii="仿宋" w:hAnsi="仿宋" w:eastAsia="仿宋" w:cs="仿宋"/>
          <w:color w:val="auto"/>
          <w:sz w:val="24"/>
        </w:rPr>
      </w:pPr>
      <w:r>
        <w:rPr>
          <w:rFonts w:hint="eastAsia" w:ascii="仿宋" w:hAnsi="仿宋" w:eastAsia="仿宋" w:cs="仿宋"/>
          <w:color w:val="auto"/>
          <w:sz w:val="24"/>
        </w:rPr>
        <w:t>依照损坏程度、低劣程度以及甲方所受的损失，经双方商定以降价方法进行。</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第八条 违约责任</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8.1甲乙双方已全面理解并认同各自在本合同项下的义务，甲方应当按照本合同之约定及时履行付款义务，乙方应当按照本合同之约定完成造船进度、按时交船。</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8.2乙方承诺严格按照本合同约定之造船进度，及时向甲方出具相关材料，告知甲方造船进度。若乙方违反本合同之约定，未按期完成造船进度，延误天数在五个工作日以上的，视为违约。延误天数在超过二十个工作日的，视为严重违约。</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color w:val="auto"/>
          <w:sz w:val="24"/>
        </w:rPr>
        <w:t>8.3乙方违约的，应当以合同总价款为基数，按照每日</w:t>
      </w:r>
      <w:r>
        <w:rPr>
          <w:rFonts w:hint="eastAsia" w:ascii="仿宋" w:hAnsi="仿宋" w:eastAsia="仿宋" w:cs="仿宋"/>
          <w:color w:val="auto"/>
          <w:sz w:val="24"/>
          <w:lang w:val="en-US" w:eastAsia="zh-CN"/>
        </w:rPr>
        <w:t>万分之五</w:t>
      </w:r>
      <w:r>
        <w:rPr>
          <w:rFonts w:hint="eastAsia" w:ascii="仿宋" w:hAnsi="仿宋" w:eastAsia="仿宋" w:cs="仿宋"/>
          <w:color w:val="auto"/>
          <w:sz w:val="24"/>
        </w:rPr>
        <w:t>的标准支付违约金；乙方严重违约的，甲方</w:t>
      </w:r>
      <w:r>
        <w:rPr>
          <w:rFonts w:hint="eastAsia" w:ascii="仿宋" w:hAnsi="仿宋" w:eastAsia="仿宋" w:cs="仿宋"/>
          <w:color w:val="auto"/>
          <w:sz w:val="24"/>
          <w:lang w:val="en-US" w:eastAsia="zh-CN"/>
        </w:rPr>
        <w:t>还</w:t>
      </w:r>
      <w:r>
        <w:rPr>
          <w:rFonts w:hint="eastAsia" w:ascii="仿宋" w:hAnsi="仿宋" w:eastAsia="仿宋" w:cs="仿宋"/>
          <w:color w:val="auto"/>
          <w:sz w:val="24"/>
        </w:rPr>
        <w:t>有权要求解除合同或要求乙方继续履行合同，无论甲方选择解除合同还是要求继续履行，均有权要求乙方按照每日</w:t>
      </w:r>
      <w:r>
        <w:rPr>
          <w:rFonts w:hint="eastAsia" w:ascii="仿宋" w:hAnsi="仿宋" w:eastAsia="仿宋" w:cs="仿宋"/>
          <w:color w:val="auto"/>
          <w:sz w:val="24"/>
          <w:lang w:val="en-US" w:eastAsia="zh-CN"/>
        </w:rPr>
        <w:t>万分之五</w:t>
      </w:r>
      <w:r>
        <w:rPr>
          <w:rFonts w:hint="eastAsia" w:ascii="仿宋" w:hAnsi="仿宋" w:eastAsia="仿宋" w:cs="仿宋"/>
          <w:color w:val="auto"/>
          <w:sz w:val="24"/>
        </w:rPr>
        <w:t>的标准支付迟延交船期间的违约金，同时履约保证金不予退还。</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第九条  不可抗力事件</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9.1如遇《中华人民共和国民法典》所列举的不可抗力情况，合同条款应按实际情况予以修正。</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9.2乙方应在不可抗力事件发生后七天内书面通知甲方，并在十天内向甲方提交当地主管部门的有关证明。甲方在收到乙方通知及当地主管部门的证明后七天内应与乙方友好协商，相应推迟交船期。如在上述期限内没有答复，则认为甲方同意乙方的意见，当不可抗力事件停止时，乙方应以同样方式通知甲方。</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第十条  合同纠纷的解决</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10.1甲、乙双方在执行本合同时发生的一切争议，都应通过友好协商解决，如协商不成任何一方均可按《中华人民共和国民法典》的规定于甲方所在地</w:t>
      </w:r>
      <w:r>
        <w:rPr>
          <w:rFonts w:hint="eastAsia" w:ascii="仿宋" w:hAnsi="仿宋" w:eastAsia="仿宋" w:cs="仿宋"/>
          <w:color w:val="auto"/>
          <w:sz w:val="24"/>
          <w:lang w:val="en-US" w:eastAsia="zh-CN"/>
        </w:rPr>
        <w:t>有管辖权的</w:t>
      </w:r>
      <w:r>
        <w:rPr>
          <w:rFonts w:hint="eastAsia" w:ascii="仿宋" w:hAnsi="仿宋" w:eastAsia="仿宋" w:cs="仿宋"/>
          <w:color w:val="auto"/>
          <w:sz w:val="24"/>
        </w:rPr>
        <w:t>法院</w:t>
      </w:r>
      <w:r>
        <w:rPr>
          <w:rFonts w:hint="eastAsia" w:ascii="仿宋" w:hAnsi="仿宋" w:eastAsia="仿宋" w:cs="仿宋"/>
          <w:color w:val="auto"/>
          <w:sz w:val="24"/>
          <w:lang w:val="en-US" w:eastAsia="zh-CN"/>
        </w:rPr>
        <w:t>提起诉讼</w:t>
      </w:r>
      <w:r>
        <w:rPr>
          <w:rFonts w:hint="eastAsia" w:ascii="仿宋" w:hAnsi="仿宋" w:eastAsia="仿宋" w:cs="仿宋"/>
          <w:color w:val="auto"/>
          <w:sz w:val="24"/>
        </w:rPr>
        <w:t>。</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10.2如对本船的建造、机械设备或有关本船的材料或工艺质量引起争议或意见分歧，应将争议提交法定检验部门裁决，该结论是最终的，对双方均有约束力。</w:t>
      </w:r>
    </w:p>
    <w:p>
      <w:pPr>
        <w:tabs>
          <w:tab w:val="left" w:pos="525"/>
          <w:tab w:val="left" w:pos="840"/>
        </w:tabs>
        <w:spacing w:line="360" w:lineRule="auto"/>
        <w:ind w:firstLine="589"/>
        <w:jc w:val="both"/>
        <w:rPr>
          <w:rFonts w:hint="eastAsia" w:ascii="仿宋" w:hAnsi="仿宋" w:eastAsia="仿宋" w:cs="仿宋"/>
          <w:b/>
          <w:color w:val="auto"/>
          <w:sz w:val="24"/>
        </w:rPr>
      </w:pPr>
      <w:r>
        <w:rPr>
          <w:rFonts w:hint="eastAsia" w:ascii="仿宋" w:hAnsi="仿宋" w:eastAsia="仿宋" w:cs="仿宋"/>
          <w:b/>
          <w:color w:val="auto"/>
          <w:sz w:val="24"/>
        </w:rPr>
        <w:t>第十一条  其它</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11.1保险</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bCs/>
          <w:color w:val="auto"/>
          <w:kern w:val="0"/>
          <w:sz w:val="24"/>
        </w:rPr>
        <w:t>中标人应在保险公司为本船投保从船体下料开始直至签署交船文件止的船舶建造及相关保险。保险受益人为中标人，保单需真实有效，招标人有权随时调阅该保险单</w:t>
      </w:r>
      <w:r>
        <w:rPr>
          <w:rFonts w:hint="eastAsia" w:ascii="仿宋" w:hAnsi="仿宋" w:eastAsia="仿宋" w:cs="仿宋"/>
          <w:color w:val="auto"/>
          <w:sz w:val="24"/>
        </w:rPr>
        <w:t>。</w:t>
      </w:r>
    </w:p>
    <w:p>
      <w:pPr>
        <w:tabs>
          <w:tab w:val="left" w:pos="525"/>
          <w:tab w:val="left" w:pos="840"/>
        </w:tabs>
        <w:spacing w:line="360" w:lineRule="auto"/>
        <w:ind w:firstLine="600"/>
        <w:jc w:val="both"/>
        <w:rPr>
          <w:rFonts w:hint="eastAsia" w:ascii="仿宋" w:hAnsi="仿宋" w:eastAsia="仿宋" w:cs="仿宋"/>
          <w:color w:val="auto"/>
          <w:sz w:val="24"/>
        </w:rPr>
      </w:pPr>
      <w:r>
        <w:rPr>
          <w:rFonts w:hint="eastAsia" w:ascii="仿宋" w:hAnsi="仿宋" w:eastAsia="仿宋" w:cs="仿宋"/>
          <w:color w:val="auto"/>
          <w:sz w:val="24"/>
        </w:rPr>
        <w:t>11.2安全责任</w:t>
      </w:r>
    </w:p>
    <w:p>
      <w:pPr>
        <w:tabs>
          <w:tab w:val="left" w:pos="525"/>
          <w:tab w:val="left" w:pos="840"/>
        </w:tabs>
        <w:spacing w:line="360" w:lineRule="auto"/>
        <w:ind w:firstLine="480" w:firstLineChars="200"/>
        <w:jc w:val="both"/>
        <w:rPr>
          <w:rFonts w:hint="eastAsia" w:ascii="仿宋" w:hAnsi="仿宋" w:eastAsia="仿宋" w:cs="仿宋"/>
          <w:color w:val="auto"/>
          <w:sz w:val="24"/>
        </w:rPr>
      </w:pPr>
      <w:r>
        <w:rPr>
          <w:rFonts w:hint="eastAsia" w:ascii="仿宋" w:hAnsi="仿宋" w:eastAsia="仿宋" w:cs="仿宋"/>
          <w:color w:val="auto"/>
          <w:sz w:val="24"/>
        </w:rPr>
        <w:t>在建造期内，如发生人</w:t>
      </w:r>
      <w:r>
        <w:rPr>
          <w:rFonts w:hint="eastAsia" w:ascii="仿宋" w:hAnsi="仿宋" w:eastAsia="仿宋" w:cs="仿宋"/>
          <w:color w:val="auto"/>
          <w:sz w:val="24"/>
          <w:lang w:val="en-US" w:eastAsia="zh-CN"/>
        </w:rPr>
        <w:t>身</w:t>
      </w:r>
      <w:r>
        <w:rPr>
          <w:rFonts w:hint="eastAsia" w:ascii="仿宋" w:hAnsi="仿宋" w:eastAsia="仿宋" w:cs="仿宋"/>
          <w:color w:val="auto"/>
          <w:sz w:val="24"/>
        </w:rPr>
        <w:t>伤亡事故和船机损坏事故，一切责任由乙方负责。</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11.3未经过甲方的同意，乙方不得转让其应履行的合同项下的义务，和将部分合同项下的义务分包给其他单位完成。</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11.4乙方不得参与可能与合同规定的与甲方的利益相冲突的任何活动。</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11.5乙方人员在甲方场地工作时，应遵守甲方相关规章、制度。</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11.6</w:t>
      </w:r>
      <w:r>
        <w:rPr>
          <w:rFonts w:hint="eastAsia" w:ascii="仿宋" w:hAnsi="仿宋" w:eastAsia="仿宋" w:cs="仿宋"/>
          <w:color w:val="auto"/>
          <w:sz w:val="24"/>
        </w:rPr>
        <w:t>本合同任何一方给另一方的通知，都应以书面或电传/传真/电报的形式发送，而另一方应以书面形式确认并发送到对方明确的地址。</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11.7</w:t>
      </w:r>
      <w:r>
        <w:rPr>
          <w:rFonts w:hint="eastAsia" w:ascii="仿宋" w:hAnsi="仿宋" w:eastAsia="仿宋" w:cs="仿宋"/>
          <w:color w:val="auto"/>
          <w:sz w:val="24"/>
        </w:rPr>
        <w:t>合同履行期内甲乙双方均不得随意变更或解除合同。合同若有未尽事宜，需双方共同协商，订立补充协议，补充协议与本合同有同等法律效力。</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11.8</w:t>
      </w:r>
      <w:r>
        <w:rPr>
          <w:rFonts w:hint="eastAsia" w:ascii="仿宋" w:hAnsi="仿宋" w:eastAsia="仿宋" w:cs="仿宋"/>
          <w:color w:val="auto"/>
          <w:sz w:val="24"/>
        </w:rPr>
        <w:t>招标文件、投标文件及评标过程中形成的文字资料、询标纪要均作为本合同的组成部分，具有同等效力。</w:t>
      </w:r>
    </w:p>
    <w:p>
      <w:pPr>
        <w:autoSpaceDE w:val="0"/>
        <w:autoSpaceDN w:val="0"/>
        <w:spacing w:line="360" w:lineRule="auto"/>
        <w:ind w:firstLine="600" w:firstLineChars="250"/>
        <w:jc w:val="both"/>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11.9</w:t>
      </w:r>
      <w:r>
        <w:rPr>
          <w:rFonts w:hint="eastAsia" w:ascii="仿宋" w:hAnsi="仿宋" w:eastAsia="仿宋" w:cs="仿宋"/>
          <w:color w:val="auto"/>
          <w:sz w:val="24"/>
          <w:highlight w:val="none"/>
        </w:rPr>
        <w:t>本合同经甲乙双方法定代表人或其</w:t>
      </w:r>
      <w:r>
        <w:rPr>
          <w:rFonts w:hint="eastAsia" w:ascii="仿宋" w:hAnsi="仿宋" w:eastAsia="仿宋" w:cs="仿宋"/>
          <w:color w:val="auto"/>
          <w:sz w:val="24"/>
          <w:highlight w:val="none"/>
          <w:lang w:val="en-US" w:eastAsia="zh-CN"/>
        </w:rPr>
        <w:t>受</w:t>
      </w:r>
      <w:r>
        <w:rPr>
          <w:rFonts w:hint="eastAsia" w:ascii="仿宋" w:hAnsi="仿宋" w:eastAsia="仿宋" w:cs="仿宋"/>
          <w:color w:val="auto"/>
          <w:sz w:val="24"/>
          <w:highlight w:val="none"/>
        </w:rPr>
        <w:t>委托人签字盖章，由乙方向甲方缴纳</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%履约保证金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银行</w:t>
      </w:r>
      <w:r>
        <w:rPr>
          <w:rFonts w:hint="eastAsia" w:ascii="仿宋" w:hAnsi="仿宋" w:eastAsia="仿宋" w:cs="仿宋"/>
          <w:color w:val="auto"/>
          <w:sz w:val="24"/>
          <w:highlight w:val="none"/>
        </w:rPr>
        <w:t>保函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zh-CN"/>
        </w:rPr>
        <w:t>后生效</w:t>
      </w:r>
      <w:r>
        <w:rPr>
          <w:rFonts w:hint="eastAsia" w:ascii="仿宋" w:hAnsi="仿宋" w:eastAsia="仿宋" w:cs="仿宋"/>
          <w:color w:val="auto"/>
          <w:sz w:val="24"/>
          <w:highlight w:val="none"/>
        </w:rPr>
        <w:t>。</w:t>
      </w:r>
    </w:p>
    <w:p>
      <w:pPr>
        <w:autoSpaceDE w:val="0"/>
        <w:autoSpaceDN w:val="0"/>
        <w:spacing w:line="360" w:lineRule="auto"/>
        <w:ind w:firstLine="600" w:firstLineChars="250"/>
        <w:jc w:val="both"/>
        <w:rPr>
          <w:rFonts w:hint="eastAsia" w:ascii="仿宋" w:hAnsi="仿宋" w:eastAsia="仿宋" w:cs="仿宋"/>
          <w:color w:val="auto"/>
          <w:sz w:val="24"/>
        </w:rPr>
      </w:pPr>
      <w:r>
        <w:rPr>
          <w:rFonts w:hint="eastAsia" w:ascii="仿宋" w:hAnsi="仿宋" w:eastAsia="仿宋" w:cs="仿宋"/>
          <w:color w:val="auto"/>
          <w:kern w:val="0"/>
          <w:sz w:val="24"/>
          <w:lang w:val="zh-CN"/>
        </w:rPr>
        <w:t>11.10</w:t>
      </w:r>
      <w:r>
        <w:rPr>
          <w:rFonts w:hint="eastAsia" w:ascii="仿宋" w:hAnsi="仿宋" w:eastAsia="仿宋" w:cs="仿宋"/>
          <w:color w:val="auto"/>
          <w:sz w:val="24"/>
        </w:rPr>
        <w:t>本合同一式伍份，甲方执贰份、乙方执贰份、采购代理机构执壹份。</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11.11适用法律：本合同应按照中华人民共和国的法律进行解释。</w:t>
      </w:r>
    </w:p>
    <w:p>
      <w:pPr>
        <w:autoSpaceDE w:val="0"/>
        <w:autoSpaceDN w:val="0"/>
        <w:spacing w:line="360" w:lineRule="auto"/>
        <w:ind w:firstLine="600" w:firstLineChars="250"/>
        <w:jc w:val="both"/>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11.12本船所涉及的设计和施工的图纸、方案，技术文件、建造工艺等资料均为甲方所有，属于甲方知识产权，未经甲方书面同意不得透露给第三方</w:t>
      </w:r>
      <w:r>
        <w:rPr>
          <w:rFonts w:hint="eastAsia" w:ascii="仿宋" w:hAnsi="仿宋" w:eastAsia="仿宋" w:cs="仿宋"/>
          <w:color w:val="auto"/>
          <w:kern w:val="0"/>
          <w:sz w:val="24"/>
          <w:lang w:val="en-US" w:eastAsia="zh-CN"/>
        </w:rPr>
        <w:t>或者擅自使用</w:t>
      </w:r>
      <w:r>
        <w:rPr>
          <w:rFonts w:hint="eastAsia" w:ascii="仿宋" w:hAnsi="仿宋" w:eastAsia="仿宋" w:cs="仿宋"/>
          <w:color w:val="auto"/>
          <w:kern w:val="0"/>
          <w:sz w:val="24"/>
          <w:lang w:val="zh-CN"/>
        </w:rPr>
        <w:t>，更不得用于申请专利，否则视为违约，甲方有权追究</w:t>
      </w:r>
      <w:r>
        <w:rPr>
          <w:rFonts w:hint="eastAsia" w:ascii="仿宋" w:hAnsi="仿宋" w:eastAsia="仿宋" w:cs="仿宋"/>
          <w:color w:val="auto"/>
          <w:kern w:val="0"/>
          <w:sz w:val="24"/>
          <w:lang w:val="en-US" w:eastAsia="zh-CN"/>
        </w:rPr>
        <w:t>乙方</w:t>
      </w:r>
      <w:r>
        <w:rPr>
          <w:rFonts w:hint="eastAsia" w:ascii="仿宋" w:hAnsi="仿宋" w:eastAsia="仿宋" w:cs="仿宋"/>
          <w:color w:val="auto"/>
          <w:kern w:val="0"/>
          <w:sz w:val="24"/>
          <w:lang w:val="zh-CN"/>
        </w:rPr>
        <w:t>违约责任和赔偿责任。</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pStyle w:val="2"/>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rPr>
      </w:pPr>
    </w:p>
    <w:p>
      <w:pPr>
        <w:spacing w:line="360" w:lineRule="auto"/>
        <w:ind w:left="720" w:firstLine="723" w:firstLineChars="200"/>
        <w:outlineLvl w:val="0"/>
        <w:rPr>
          <w:rFonts w:hint="eastAsia" w:ascii="仿宋" w:hAnsi="仿宋" w:eastAsia="仿宋" w:cs="仿宋"/>
          <w:b/>
          <w:color w:val="FF0000"/>
          <w:sz w:val="36"/>
          <w:szCs w:val="20"/>
        </w:rPr>
      </w:pPr>
    </w:p>
    <w:p>
      <w:pPr>
        <w:spacing w:line="360" w:lineRule="auto"/>
        <w:ind w:left="720" w:firstLine="723" w:firstLineChars="200"/>
        <w:outlineLvl w:val="0"/>
        <w:rPr>
          <w:rFonts w:hint="eastAsia" w:ascii="仿宋" w:hAnsi="仿宋" w:eastAsia="仿宋" w:cs="仿宋"/>
          <w:b/>
          <w:color w:val="auto"/>
          <w:sz w:val="36"/>
          <w:szCs w:val="20"/>
        </w:rPr>
      </w:pPr>
    </w:p>
    <w:p>
      <w:pPr>
        <w:spacing w:line="360" w:lineRule="auto"/>
        <w:ind w:left="720" w:firstLine="723" w:firstLineChars="200"/>
        <w:outlineLvl w:val="0"/>
        <w:rPr>
          <w:rFonts w:hint="eastAsia" w:ascii="仿宋" w:hAnsi="仿宋" w:eastAsia="仿宋" w:cs="仿宋"/>
          <w:b/>
          <w:color w:val="auto"/>
          <w:sz w:val="36"/>
          <w:szCs w:val="20"/>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ind w:left="720" w:firstLine="723" w:firstLineChars="200"/>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395"/>
      <w:r>
        <w:rPr>
          <w:rFonts w:hint="eastAsia" w:ascii="仿宋" w:hAnsi="仿宋" w:eastAsia="仿宋" w:cs="仿宋"/>
          <w:b/>
          <w:color w:val="auto"/>
          <w:sz w:val="36"/>
          <w:szCs w:val="20"/>
        </w:rPr>
        <w:t xml:space="preserve"> </w:t>
      </w:r>
      <w:bookmarkEnd w:id="396"/>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lang w:eastAsia="zh-CN"/>
        </w:rPr>
        <w:t>（如有）</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（3）需满足的资格要求</w:t>
      </w:r>
      <w:r>
        <w:rPr>
          <w:rFonts w:hint="eastAsia" w:ascii="仿宋" w:hAnsi="仿宋" w:eastAsia="仿宋" w:cs="仿宋"/>
          <w:color w:val="auto"/>
          <w:sz w:val="24"/>
          <w:lang w:eastAsia="zh-CN"/>
        </w:rPr>
        <w:t>（如有）</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（4）本项目的特定资格要求</w:t>
      </w:r>
      <w:r>
        <w:rPr>
          <w:rFonts w:hint="eastAsia" w:ascii="仿宋" w:hAnsi="仿宋" w:eastAsia="仿宋" w:cs="仿宋"/>
          <w:color w:val="auto"/>
          <w:sz w:val="24"/>
          <w:lang w:eastAsia="zh-CN"/>
        </w:rPr>
        <w:t>（如有）</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FF0000"/>
          <w:sz w:val="24"/>
        </w:rPr>
      </w:pPr>
    </w:p>
    <w:p>
      <w:pPr>
        <w:snapToGrid w:val="0"/>
        <w:spacing w:line="360" w:lineRule="auto"/>
        <w:ind w:firstLine="480" w:firstLineChars="200"/>
        <w:rPr>
          <w:rFonts w:hint="eastAsia" w:ascii="仿宋" w:hAnsi="仿宋" w:eastAsia="仿宋" w:cs="仿宋"/>
          <w:color w:val="FF0000"/>
          <w:sz w:val="24"/>
        </w:rPr>
      </w:pPr>
    </w:p>
    <w:p>
      <w:pPr>
        <w:spacing w:line="360" w:lineRule="auto"/>
        <w:ind w:firstLine="480" w:firstLineChars="200"/>
        <w:rPr>
          <w:rFonts w:hint="eastAsia" w:ascii="仿宋" w:hAnsi="仿宋" w:eastAsia="仿宋" w:cs="仿宋"/>
          <w:color w:val="FF0000"/>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color w:val="FF0000"/>
          <w:kern w:val="0"/>
          <w:sz w:val="24"/>
        </w:rPr>
        <w:br w:type="page"/>
      </w:r>
      <w:r>
        <w:rPr>
          <w:rFonts w:hint="eastAsia" w:ascii="仿宋" w:hAnsi="仿宋" w:eastAsia="仿宋" w:cs="仿宋"/>
          <w:b/>
          <w:kern w:val="0"/>
          <w:sz w:val="32"/>
          <w:szCs w:val="32"/>
        </w:rPr>
        <w:t xml:space="preserve">  一、 符合参加采购活动应当具备的一般条件的承诺函</w:t>
      </w:r>
    </w:p>
    <w:p>
      <w:pPr>
        <w:snapToGrid w:val="0"/>
        <w:spacing w:line="360" w:lineRule="auto"/>
        <w:ind w:firstLine="480" w:firstLineChars="200"/>
        <w:rPr>
          <w:rFonts w:hint="eastAsia" w:ascii="仿宋" w:hAnsi="仿宋" w:eastAsia="仿宋" w:cs="仿宋"/>
          <w:sz w:val="24"/>
          <w:u w:val="none"/>
          <w:lang w:val="en-US" w:eastAsia="zh-CN"/>
        </w:rPr>
      </w:pPr>
      <w:r>
        <w:rPr>
          <w:rFonts w:hint="eastAsia" w:ascii="仿宋" w:hAnsi="仿宋" w:eastAsia="仿宋" w:cs="仿宋"/>
          <w:sz w:val="24"/>
          <w:u w:val="none"/>
          <w:lang w:val="en-US" w:eastAsia="zh-CN"/>
        </w:rPr>
        <w:t>淳安县两山生态资源经营开发有限公司</w:t>
      </w:r>
      <w:r>
        <w:rPr>
          <w:rFonts w:hint="eastAsia" w:ascii="仿宋" w:hAnsi="仿宋" w:eastAsia="仿宋" w:cs="仿宋"/>
          <w:sz w:val="24"/>
          <w:u w:val="none"/>
          <w:lang w:val="en-US" w:eastAsia="zh-CN"/>
        </w:rPr>
        <w:tab/>
      </w:r>
      <w:r>
        <w:rPr>
          <w:rFonts w:hint="eastAsia" w:ascii="仿宋" w:hAnsi="仿宋" w:eastAsia="仿宋" w:cs="仿宋"/>
          <w:sz w:val="24"/>
          <w:u w:val="none"/>
          <w:lang w:val="en-US" w:eastAsia="zh-CN"/>
        </w:rPr>
        <w:t>、东方经纬项目管理有限公司：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lang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w:t>
      </w:r>
      <w:r>
        <w:rPr>
          <w:rFonts w:hint="eastAsia" w:ascii="仿宋" w:hAnsi="仿宋" w:eastAsia="仿宋" w:cs="仿宋"/>
          <w:sz w:val="24"/>
          <w:lang w:val="en-US" w:eastAsia="zh-CN"/>
        </w:rPr>
        <w:t>以下</w:t>
      </w:r>
      <w:r>
        <w:rPr>
          <w:rFonts w:hint="eastAsia" w:ascii="仿宋" w:hAnsi="仿宋" w:eastAsia="仿宋" w:cs="仿宋"/>
          <w:sz w:val="24"/>
        </w:rPr>
        <w:t>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w:t>
      </w:r>
      <w:r>
        <w:rPr>
          <w:rFonts w:hint="eastAsia" w:ascii="仿宋" w:hAnsi="仿宋" w:eastAsia="仿宋" w:cs="仿宋"/>
          <w:sz w:val="24"/>
          <w:lang w:val="zh-CN"/>
        </w:rPr>
        <w:t>参加采购活动前三年内，在经营活动中没有重大违法记录（包括在本平台交易中无串标、提供虚假资料等记录）</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w:t>
      </w:r>
      <w:r>
        <w:rPr>
          <w:rFonts w:hint="eastAsia" w:ascii="仿宋" w:hAnsi="仿宋" w:eastAsia="仿宋" w:cs="仿宋"/>
          <w:b/>
          <w:sz w:val="24"/>
          <w:lang w:val="en-US" w:eastAsia="zh-CN"/>
        </w:rPr>
        <w:t>6</w:t>
      </w:r>
      <w:r>
        <w:rPr>
          <w:rFonts w:hint="eastAsia" w:ascii="仿宋" w:hAnsi="仿宋" w:eastAsia="仿宋" w:cs="仿宋"/>
          <w:b/>
          <w:sz w:val="24"/>
        </w:rPr>
        <w:t>）；本项目不接受联合体投标或者投标人不以联合体形式投标的，则不需要提供]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（根据招标公告落实需满足的资格要求选择提供相应的材料；未要求的，无需提供）</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lang w:val="en-US" w:eastAsia="zh-CN"/>
        </w:rPr>
        <w:t>A</w:t>
      </w:r>
      <w:r>
        <w:rPr>
          <w:rFonts w:hint="eastAsia" w:ascii="仿宋" w:hAnsi="仿宋" w:eastAsia="仿宋" w:cs="仿宋"/>
          <w:b/>
          <w:sz w:val="24"/>
        </w:rPr>
        <w:t>.</w:t>
      </w:r>
      <w:r>
        <w:rPr>
          <w:rFonts w:hint="eastAsia" w:ascii="仿宋" w:hAnsi="仿宋" w:eastAsia="仿宋" w:cs="仿宋"/>
          <w:sz w:val="24"/>
        </w:rPr>
        <w:t>要求以联合体形式参加的，提供联合协议（附件</w:t>
      </w:r>
      <w:r>
        <w:rPr>
          <w:rFonts w:hint="eastAsia" w:ascii="仿宋" w:hAnsi="仿宋" w:eastAsia="仿宋" w:cs="仿宋"/>
          <w:sz w:val="24"/>
          <w:lang w:val="en-US" w:eastAsia="zh-CN"/>
        </w:rPr>
        <w:t>6</w:t>
      </w:r>
      <w:r>
        <w:rPr>
          <w:rFonts w:hint="eastAsia" w:ascii="仿宋" w:hAnsi="仿宋" w:eastAsia="仿宋" w:cs="仿宋"/>
          <w:sz w:val="24"/>
        </w:rPr>
        <w:t>），联合协议中中小企业合同金额应当达到招标公告载明的比例；如果供应商本身提供所有标的均由中小企业制造的，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lang w:val="en-US" w:eastAsia="zh-CN"/>
        </w:rPr>
        <w:t>B</w:t>
      </w:r>
      <w:r>
        <w:rPr>
          <w:rFonts w:hint="eastAsia" w:ascii="仿宋" w:hAnsi="仿宋" w:eastAsia="仿宋" w:cs="仿宋"/>
          <w:b/>
          <w:sz w:val="24"/>
        </w:rPr>
        <w:t>、</w:t>
      </w:r>
      <w:r>
        <w:rPr>
          <w:rFonts w:hint="eastAsia" w:ascii="仿宋" w:hAnsi="仿宋" w:eastAsia="仿宋" w:cs="仿宋"/>
          <w:sz w:val="24"/>
        </w:rPr>
        <w:t>要求合同分包的，提供分包意向协议（附件</w:t>
      </w:r>
      <w:r>
        <w:rPr>
          <w:rFonts w:hint="eastAsia" w:ascii="仿宋" w:hAnsi="仿宋" w:eastAsia="仿宋" w:cs="仿宋"/>
          <w:sz w:val="24"/>
          <w:lang w:val="en-US" w:eastAsia="zh-CN"/>
        </w:rPr>
        <w:t>7</w:t>
      </w:r>
      <w:r>
        <w:rPr>
          <w:rFonts w:hint="eastAsia" w:ascii="仿宋" w:hAnsi="仿宋" w:eastAsia="仿宋" w:cs="仿宋"/>
          <w:sz w:val="24"/>
        </w:rPr>
        <w:t>），分包意向协议中中小企业合同金额应当达到招标公告载明的比例；如果供应商本身提供所有标的均由中小企业制造的，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outlineLvl w:val="0"/>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3855" w:firstLineChars="1200"/>
        <w:outlineLvl w:val="0"/>
        <w:rPr>
          <w:rFonts w:hint="eastAsia" w:ascii="仿宋" w:hAnsi="仿宋" w:eastAsia="仿宋" w:cs="仿宋"/>
          <w:b/>
          <w:kern w:val="0"/>
          <w:sz w:val="32"/>
          <w:szCs w:val="32"/>
        </w:rPr>
      </w:pPr>
    </w:p>
    <w:p>
      <w:pPr>
        <w:pStyle w:val="24"/>
        <w:rPr>
          <w:rFonts w:hint="eastAsia" w:ascii="仿宋" w:hAnsi="仿宋" w:eastAsia="仿宋" w:cs="仿宋"/>
          <w:b/>
          <w:kern w:val="0"/>
          <w:sz w:val="32"/>
          <w:szCs w:val="32"/>
        </w:rPr>
      </w:pPr>
    </w:p>
    <w:p>
      <w:pPr>
        <w:pStyle w:val="25"/>
        <w:rPr>
          <w:rFonts w:hint="eastAsia" w:ascii="仿宋" w:hAnsi="仿宋" w:eastAsia="仿宋" w:cs="仿宋"/>
        </w:rPr>
      </w:pPr>
    </w:p>
    <w:p>
      <w:pPr>
        <w:pStyle w:val="61"/>
        <w:ind w:firstLine="643"/>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3855" w:firstLineChars="1200"/>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u w:val="none"/>
          <w:lang w:val="en-US" w:eastAsia="zh-CN"/>
        </w:rPr>
        <w:t>淳安县两山生态资源经营开发有限公司</w:t>
      </w:r>
      <w:r>
        <w:rPr>
          <w:rFonts w:hint="eastAsia" w:ascii="仿宋" w:hAnsi="仿宋" w:eastAsia="仿宋" w:cs="仿宋"/>
          <w:sz w:val="24"/>
          <w:u w:val="none"/>
          <w:lang w:val="en-US" w:eastAsia="zh-CN"/>
        </w:rPr>
        <w:tab/>
      </w:r>
      <w:r>
        <w:rPr>
          <w:rFonts w:hint="eastAsia" w:ascii="仿宋" w:hAnsi="仿宋" w:eastAsia="仿宋" w:cs="仿宋"/>
          <w:sz w:val="24"/>
          <w:u w:val="none"/>
          <w:lang w:val="en-US" w:eastAsia="zh-CN"/>
        </w:rPr>
        <w:t>、东方经纬项目管理有限公司</w:t>
      </w:r>
      <w:r>
        <w:rPr>
          <w:rFonts w:hint="eastAsia" w:ascii="仿宋" w:hAnsi="仿宋" w:eastAsia="仿宋" w:cs="仿宋"/>
          <w:sz w:val="24"/>
          <w:u w:val="none"/>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lang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联合协议（如果有)；</w:t>
      </w:r>
    </w:p>
    <w:p>
      <w:pPr>
        <w:snapToGrid w:val="0"/>
        <w:spacing w:line="36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sz w:val="24"/>
        </w:rPr>
        <w:t>2.1.3需满足的资格要求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lang w:val="en-US" w:eastAsia="zh-CN"/>
        </w:rPr>
        <w:t>。</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采购供应商廉洁自律承诺书；</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sz w:val="24"/>
          <w:lang w:val="en-US" w:eastAsia="zh-CN"/>
        </w:rPr>
        <w:t>2.3.2</w:t>
      </w:r>
      <w:r>
        <w:rPr>
          <w:rFonts w:hint="eastAsia" w:ascii="仿宋" w:hAnsi="仿宋" w:eastAsia="仿宋" w:cs="仿宋"/>
          <w:sz w:val="24"/>
        </w:rPr>
        <w:t>中小企业声明函</w:t>
      </w:r>
      <w:r>
        <w:rPr>
          <w:rFonts w:hint="eastAsia" w:ascii="仿宋" w:hAnsi="仿宋" w:eastAsia="仿宋" w:cs="仿宋"/>
          <w:sz w:val="24"/>
          <w:lang w:eastAsia="zh-CN"/>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none"/>
          <w:lang w:val="en-US" w:eastAsia="zh-CN"/>
        </w:rPr>
        <w:t>淳安县两山生态资源经营开发有限公司</w:t>
      </w:r>
      <w:r>
        <w:rPr>
          <w:rFonts w:hint="eastAsia" w:ascii="仿宋" w:hAnsi="仿宋" w:eastAsia="仿宋" w:cs="仿宋"/>
          <w:sz w:val="24"/>
          <w:u w:val="none"/>
          <w:lang w:val="en-US" w:eastAsia="zh-CN"/>
        </w:rPr>
        <w:tab/>
      </w:r>
      <w:r>
        <w:rPr>
          <w:rFonts w:hint="eastAsia" w:ascii="仿宋" w:hAnsi="仿宋" w:eastAsia="仿宋" w:cs="仿宋"/>
          <w:sz w:val="24"/>
          <w:u w:val="none"/>
          <w:lang w:val="en-US" w:eastAsia="zh-CN"/>
        </w:rPr>
        <w:t>、东方经纬项目管理有限公司</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kern w:val="0"/>
          <w:sz w:val="24"/>
          <w:u w:val="single"/>
          <w:lang w:val="zh-CN"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w:t>
      </w:r>
      <w:r>
        <w:rPr>
          <w:rFonts w:hint="eastAsia" w:ascii="仿宋" w:hAnsi="仿宋" w:eastAsia="仿宋" w:cs="仿宋"/>
          <w:kern w:val="0"/>
          <w:sz w:val="24"/>
          <w:lang w:val="zh-CN"/>
        </w:rPr>
        <w:t>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淳安县两山生态资源经营开发有限公司</w:t>
      </w:r>
      <w:r>
        <w:rPr>
          <w:rFonts w:hint="eastAsia" w:ascii="仿宋" w:hAnsi="仿宋" w:eastAsia="仿宋" w:cs="仿宋"/>
          <w:sz w:val="24"/>
          <w:lang w:val="en-US" w:eastAsia="zh-CN"/>
        </w:rPr>
        <w:tab/>
      </w:r>
      <w:r>
        <w:rPr>
          <w:rFonts w:hint="eastAsia" w:ascii="仿宋" w:hAnsi="仿宋" w:eastAsia="仿宋" w:cs="仿宋"/>
          <w:sz w:val="24"/>
          <w:lang w:val="en-US" w:eastAsia="zh-CN"/>
        </w:rPr>
        <w:t>、东方经纬项目管理有限公司</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kern w:val="0"/>
          <w:sz w:val="24"/>
          <w:u w:val="single"/>
          <w:lang w:val="zh-CN"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w:t>
      </w:r>
      <w:r>
        <w:rPr>
          <w:rFonts w:hint="eastAsia" w:ascii="仿宋" w:hAnsi="仿宋" w:eastAsia="仿宋" w:cs="仿宋"/>
          <w:kern w:val="0"/>
          <w:sz w:val="24"/>
          <w:lang w:val="zh-CN"/>
        </w:rPr>
        <w:t>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50"/>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50"/>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hint="eastAsia" w:ascii="仿宋" w:hAnsi="仿宋" w:eastAsia="仿宋" w:cs="仿宋"/>
          <w:sz w:val="24"/>
        </w:rPr>
      </w:pPr>
      <w:bookmarkStart w:id="397" w:name="_Hlk101169080"/>
      <w:r>
        <w:rPr>
          <w:rFonts w:hint="eastAsia" w:ascii="仿宋" w:hAnsi="仿宋" w:eastAsia="仿宋" w:cs="仿宋"/>
          <w:sz w:val="24"/>
        </w:rPr>
        <w:t>[</w:t>
      </w:r>
      <w:r>
        <w:rPr>
          <w:rFonts w:hint="eastAsia" w:ascii="仿宋" w:hAnsi="仿宋" w:eastAsia="仿宋" w:cs="仿宋"/>
          <w:b/>
          <w:sz w:val="24"/>
        </w:rPr>
        <w:t>中标后以分包方式履行合同的，提供分包意向协议(附件</w:t>
      </w:r>
      <w:r>
        <w:rPr>
          <w:rFonts w:hint="eastAsia" w:ascii="仿宋" w:hAnsi="仿宋" w:eastAsia="仿宋" w:cs="仿宋"/>
          <w:b/>
          <w:sz w:val="24"/>
          <w:lang w:val="en-US" w:eastAsia="zh-CN"/>
        </w:rPr>
        <w:t>7</w:t>
      </w:r>
      <w:r>
        <w:rPr>
          <w:rFonts w:hint="eastAsia" w:ascii="仿宋" w:hAnsi="仿宋" w:eastAsia="仿宋" w:cs="仿宋"/>
          <w:b/>
          <w:sz w:val="24"/>
        </w:rPr>
        <w:t>)；采购人不同意分包或者投标人中标后不以分包方式履行合同的，则不需要提供。</w:t>
      </w:r>
      <w:r>
        <w:rPr>
          <w:rFonts w:hint="eastAsia" w:ascii="仿宋" w:hAnsi="仿宋" w:eastAsia="仿宋" w:cs="仿宋"/>
          <w:sz w:val="24"/>
        </w:rPr>
        <w:t>]</w:t>
      </w:r>
    </w:p>
    <w:bookmarkEnd w:id="397"/>
    <w:p>
      <w:pPr>
        <w:pStyle w:val="2"/>
        <w:ind w:left="0" w:firstLine="0"/>
        <w:rPr>
          <w:rFonts w:hint="eastAsia" w:ascii="仿宋" w:hAnsi="仿宋" w:eastAsia="仿宋" w:cs="仿宋"/>
          <w:lang w:val="en-US"/>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vAlign w:val="center"/>
          </w:tcPr>
          <w:p>
            <w:pPr>
              <w:spacing w:line="360" w:lineRule="auto"/>
              <w:jc w:val="both"/>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vAlign w:val="center"/>
          </w:tcPr>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见投标文件</w:t>
            </w:r>
          </w:p>
          <w:p>
            <w:pPr>
              <w:jc w:val="cente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vAlign w:val="center"/>
          </w:tcPr>
          <w:p>
            <w:pPr>
              <w:jc w:val="cente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vAlign w:val="center"/>
          </w:tcPr>
          <w:p>
            <w:pPr>
              <w:spacing w:line="360" w:lineRule="auto"/>
              <w:jc w:val="both"/>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vAlign w:val="center"/>
          </w:tcPr>
          <w:p>
            <w:pPr>
              <w:jc w:val="cente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widowControl/>
        <w:adjustRightInd/>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widowControl/>
        <w:adjustRightInd/>
        <w:jc w:val="left"/>
        <w:rPr>
          <w:rFonts w:hint="eastAsia"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淳安县两山生态资源经营开发有限公司</w:t>
      </w:r>
      <w:r>
        <w:rPr>
          <w:rFonts w:hint="eastAsia" w:ascii="仿宋" w:hAnsi="仿宋" w:eastAsia="仿宋" w:cs="仿宋"/>
          <w:sz w:val="24"/>
          <w:lang w:val="en-US" w:eastAsia="zh-CN"/>
        </w:rPr>
        <w:tab/>
      </w:r>
      <w:r>
        <w:rPr>
          <w:rFonts w:hint="eastAsia" w:ascii="仿宋" w:hAnsi="仿宋" w:eastAsia="仿宋" w:cs="仿宋"/>
          <w:sz w:val="24"/>
          <w:lang w:val="en-US" w:eastAsia="zh-CN"/>
        </w:rPr>
        <w:t>、东方经纬项目管理有限公司</w:t>
      </w:r>
      <w:r>
        <w:rPr>
          <w:rFonts w:hint="eastAsia" w:ascii="仿宋" w:hAnsi="仿宋" w:eastAsia="仿宋" w:cs="仿宋"/>
          <w:sz w:val="24"/>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淳安县两山生态资源经营开发有限公司</w:t>
      </w:r>
      <w:r>
        <w:rPr>
          <w:rFonts w:hint="eastAsia" w:ascii="仿宋" w:hAnsi="仿宋" w:eastAsia="仿宋" w:cs="仿宋"/>
          <w:sz w:val="24"/>
          <w:lang w:val="en-US" w:eastAsia="zh-CN"/>
        </w:rPr>
        <w:tab/>
      </w:r>
      <w:r>
        <w:rPr>
          <w:rFonts w:hint="eastAsia" w:ascii="仿宋" w:hAnsi="仿宋" w:eastAsia="仿宋" w:cs="仿宋"/>
          <w:sz w:val="24"/>
          <w:lang w:val="en-US" w:eastAsia="zh-CN"/>
        </w:rPr>
        <w:t>、东方经纬项目管理有限公司</w:t>
      </w:r>
      <w:r>
        <w:rPr>
          <w:rFonts w:hint="eastAsia" w:ascii="仿宋" w:hAnsi="仿宋" w:eastAsia="仿宋" w:cs="仿宋"/>
          <w:sz w:val="24"/>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kern w:val="0"/>
          <w:sz w:val="24"/>
          <w:u w:val="single"/>
          <w:lang w:val="zh-CN" w:eastAsia="zh-CN"/>
        </w:rPr>
        <w:t>两山公司一期（首批）项目建设支撑体系设备（5）巡护船（艇）采购项目</w:t>
      </w:r>
      <w:r>
        <w:rPr>
          <w:rFonts w:hint="eastAsia" w:ascii="仿宋" w:hAnsi="仿宋" w:eastAsia="仿宋" w:cs="仿宋"/>
          <w:kern w:val="0"/>
          <w:sz w:val="24"/>
          <w:u w:val="single"/>
          <w:lang w:val="zh-CN"/>
        </w:rPr>
        <w:t>【</w:t>
      </w:r>
      <w:r>
        <w:rPr>
          <w:rFonts w:hint="eastAsia" w:ascii="仿宋" w:hAnsi="仿宋" w:eastAsia="仿宋" w:cs="仿宋"/>
          <w:kern w:val="0"/>
          <w:sz w:val="24"/>
          <w:lang w:val="zh-CN"/>
        </w:rPr>
        <w:t>招标编号：</w:t>
      </w:r>
      <w:r>
        <w:rPr>
          <w:rFonts w:hint="eastAsia" w:ascii="仿宋" w:hAnsi="仿宋" w:eastAsia="仿宋" w:cs="仿宋"/>
          <w:kern w:val="0"/>
          <w:sz w:val="24"/>
          <w:lang w:val="zh-CN" w:eastAsia="zh-CN"/>
        </w:rPr>
        <w:t>DFJW2023-CA-0</w:t>
      </w:r>
      <w:r>
        <w:rPr>
          <w:rFonts w:hint="eastAsia" w:ascii="仿宋" w:hAnsi="仿宋" w:eastAsia="仿宋" w:cs="仿宋"/>
          <w:kern w:val="0"/>
          <w:sz w:val="24"/>
          <w:lang w:val="en-US" w:eastAsia="zh-CN"/>
        </w:rPr>
        <w:t>20</w:t>
      </w:r>
      <w:r>
        <w:rPr>
          <w:rFonts w:hint="eastAsia" w:ascii="仿宋" w:hAnsi="仿宋" w:eastAsia="仿宋" w:cs="仿宋"/>
          <w:kern w:val="0"/>
          <w:sz w:val="24"/>
          <w:lang w:val="zh-CN" w:eastAsia="zh-CN"/>
        </w:rPr>
        <w:t>号</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5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32"/>
        <w:gridCol w:w="1602"/>
        <w:gridCol w:w="2711"/>
        <w:gridCol w:w="863"/>
        <w:gridCol w:w="1355"/>
        <w:gridCol w:w="1725"/>
        <w:gridCol w:w="2712"/>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46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23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602"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2711"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86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355"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725"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合计</w:t>
            </w:r>
          </w:p>
        </w:tc>
        <w:tc>
          <w:tcPr>
            <w:tcW w:w="2712"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项目负责人</w:t>
            </w:r>
          </w:p>
        </w:tc>
        <w:tc>
          <w:tcPr>
            <w:tcW w:w="271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232" w:type="dxa"/>
            <w:vAlign w:val="center"/>
          </w:tcPr>
          <w:p>
            <w:pPr>
              <w:snapToGrid w:val="0"/>
              <w:spacing w:line="360" w:lineRule="auto"/>
              <w:jc w:val="center"/>
              <w:rPr>
                <w:rFonts w:hint="eastAsia" w:ascii="仿宋" w:hAnsi="仿宋" w:eastAsia="仿宋" w:cs="仿宋"/>
                <w:color w:val="0000FF"/>
                <w:sz w:val="24"/>
              </w:rPr>
            </w:pPr>
          </w:p>
        </w:tc>
        <w:tc>
          <w:tcPr>
            <w:tcW w:w="1602" w:type="dxa"/>
            <w:vAlign w:val="center"/>
          </w:tcPr>
          <w:p>
            <w:pPr>
              <w:snapToGrid w:val="0"/>
              <w:spacing w:line="360" w:lineRule="auto"/>
              <w:jc w:val="center"/>
              <w:rPr>
                <w:rFonts w:hint="eastAsia" w:ascii="仿宋" w:hAnsi="仿宋" w:eastAsia="仿宋" w:cs="仿宋"/>
                <w:color w:val="0000FF"/>
                <w:sz w:val="24"/>
              </w:rPr>
            </w:pPr>
          </w:p>
        </w:tc>
        <w:tc>
          <w:tcPr>
            <w:tcW w:w="2711" w:type="dxa"/>
            <w:vAlign w:val="center"/>
          </w:tcPr>
          <w:p>
            <w:pPr>
              <w:snapToGrid w:val="0"/>
              <w:spacing w:line="360" w:lineRule="auto"/>
              <w:jc w:val="center"/>
              <w:rPr>
                <w:rFonts w:hint="eastAsia" w:ascii="仿宋" w:hAnsi="仿宋" w:eastAsia="仿宋" w:cs="仿宋"/>
                <w:color w:val="0000FF"/>
                <w:sz w:val="24"/>
              </w:rPr>
            </w:pPr>
          </w:p>
        </w:tc>
        <w:tc>
          <w:tcPr>
            <w:tcW w:w="863" w:type="dxa"/>
            <w:vAlign w:val="center"/>
          </w:tcPr>
          <w:p>
            <w:pPr>
              <w:snapToGrid w:val="0"/>
              <w:spacing w:line="360" w:lineRule="auto"/>
              <w:jc w:val="center"/>
              <w:rPr>
                <w:rFonts w:hint="eastAsia" w:ascii="仿宋" w:hAnsi="仿宋" w:eastAsia="仿宋" w:cs="仿宋"/>
                <w:color w:val="0000FF"/>
                <w:sz w:val="24"/>
              </w:rPr>
            </w:pPr>
          </w:p>
        </w:tc>
        <w:tc>
          <w:tcPr>
            <w:tcW w:w="1355" w:type="dxa"/>
            <w:vAlign w:val="center"/>
          </w:tcPr>
          <w:p>
            <w:pPr>
              <w:spacing w:line="360" w:lineRule="auto"/>
              <w:jc w:val="center"/>
              <w:rPr>
                <w:rFonts w:hint="eastAsia" w:ascii="仿宋" w:hAnsi="仿宋" w:eastAsia="仿宋" w:cs="仿宋"/>
                <w:color w:val="0000FF"/>
                <w:sz w:val="24"/>
              </w:rPr>
            </w:pPr>
          </w:p>
        </w:tc>
        <w:tc>
          <w:tcPr>
            <w:tcW w:w="1725" w:type="dxa"/>
            <w:vAlign w:val="center"/>
          </w:tcPr>
          <w:p>
            <w:pPr>
              <w:spacing w:line="360" w:lineRule="auto"/>
              <w:jc w:val="center"/>
              <w:rPr>
                <w:rFonts w:hint="eastAsia" w:ascii="仿宋" w:hAnsi="仿宋" w:eastAsia="仿宋" w:cs="仿宋"/>
                <w:color w:val="0000FF"/>
                <w:sz w:val="24"/>
              </w:rPr>
            </w:pPr>
          </w:p>
        </w:tc>
        <w:tc>
          <w:tcPr>
            <w:tcW w:w="2712" w:type="dxa"/>
            <w:vAlign w:val="center"/>
          </w:tcPr>
          <w:p>
            <w:pPr>
              <w:spacing w:line="360" w:lineRule="auto"/>
              <w:jc w:val="center"/>
              <w:rPr>
                <w:rFonts w:hint="eastAsia" w:ascii="仿宋" w:hAnsi="仿宋" w:eastAsia="仿宋" w:cs="仿宋"/>
                <w:color w:val="0000FF"/>
                <w:sz w:val="24"/>
              </w:rPr>
            </w:pPr>
          </w:p>
        </w:tc>
        <w:tc>
          <w:tcPr>
            <w:tcW w:w="2712" w:type="dxa"/>
            <w:vAlign w:val="center"/>
          </w:tcPr>
          <w:p>
            <w:pPr>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232" w:type="dxa"/>
            <w:vAlign w:val="center"/>
          </w:tcPr>
          <w:p>
            <w:pPr>
              <w:snapToGrid w:val="0"/>
              <w:spacing w:line="360" w:lineRule="auto"/>
              <w:jc w:val="center"/>
              <w:rPr>
                <w:rFonts w:hint="eastAsia" w:ascii="仿宋" w:hAnsi="仿宋" w:eastAsia="仿宋" w:cs="仿宋"/>
                <w:color w:val="0000FF"/>
                <w:sz w:val="24"/>
              </w:rPr>
            </w:pPr>
          </w:p>
        </w:tc>
        <w:tc>
          <w:tcPr>
            <w:tcW w:w="1602" w:type="dxa"/>
            <w:vAlign w:val="center"/>
          </w:tcPr>
          <w:p>
            <w:pPr>
              <w:snapToGrid w:val="0"/>
              <w:spacing w:line="360" w:lineRule="auto"/>
              <w:jc w:val="center"/>
              <w:rPr>
                <w:rFonts w:hint="eastAsia" w:ascii="仿宋" w:hAnsi="仿宋" w:eastAsia="仿宋" w:cs="仿宋"/>
                <w:color w:val="0000FF"/>
                <w:sz w:val="24"/>
              </w:rPr>
            </w:pPr>
          </w:p>
        </w:tc>
        <w:tc>
          <w:tcPr>
            <w:tcW w:w="2711" w:type="dxa"/>
            <w:vAlign w:val="center"/>
          </w:tcPr>
          <w:p>
            <w:pPr>
              <w:snapToGrid w:val="0"/>
              <w:spacing w:line="360" w:lineRule="auto"/>
              <w:jc w:val="center"/>
              <w:rPr>
                <w:rFonts w:hint="eastAsia" w:ascii="仿宋" w:hAnsi="仿宋" w:eastAsia="仿宋" w:cs="仿宋"/>
                <w:color w:val="0000FF"/>
                <w:sz w:val="24"/>
              </w:rPr>
            </w:pPr>
          </w:p>
        </w:tc>
        <w:tc>
          <w:tcPr>
            <w:tcW w:w="863" w:type="dxa"/>
            <w:vAlign w:val="center"/>
          </w:tcPr>
          <w:p>
            <w:pPr>
              <w:snapToGrid w:val="0"/>
              <w:spacing w:line="360" w:lineRule="auto"/>
              <w:jc w:val="center"/>
              <w:rPr>
                <w:rFonts w:hint="eastAsia" w:ascii="仿宋" w:hAnsi="仿宋" w:eastAsia="仿宋" w:cs="仿宋"/>
                <w:color w:val="0000FF"/>
                <w:sz w:val="24"/>
              </w:rPr>
            </w:pPr>
          </w:p>
        </w:tc>
        <w:tc>
          <w:tcPr>
            <w:tcW w:w="1355" w:type="dxa"/>
            <w:vAlign w:val="center"/>
          </w:tcPr>
          <w:p>
            <w:pPr>
              <w:spacing w:line="360" w:lineRule="auto"/>
              <w:jc w:val="center"/>
              <w:rPr>
                <w:rFonts w:hint="eastAsia" w:ascii="仿宋" w:hAnsi="仿宋" w:eastAsia="仿宋" w:cs="仿宋"/>
                <w:color w:val="0000FF"/>
                <w:sz w:val="24"/>
              </w:rPr>
            </w:pPr>
          </w:p>
        </w:tc>
        <w:tc>
          <w:tcPr>
            <w:tcW w:w="1725" w:type="dxa"/>
            <w:vAlign w:val="center"/>
          </w:tcPr>
          <w:p>
            <w:pPr>
              <w:spacing w:line="360" w:lineRule="auto"/>
              <w:jc w:val="center"/>
              <w:rPr>
                <w:rFonts w:hint="eastAsia" w:ascii="仿宋" w:hAnsi="仿宋" w:eastAsia="仿宋" w:cs="仿宋"/>
                <w:color w:val="0000FF"/>
                <w:sz w:val="24"/>
              </w:rPr>
            </w:pPr>
          </w:p>
        </w:tc>
        <w:tc>
          <w:tcPr>
            <w:tcW w:w="2712" w:type="dxa"/>
            <w:vAlign w:val="center"/>
          </w:tcPr>
          <w:p>
            <w:pPr>
              <w:spacing w:line="360" w:lineRule="auto"/>
              <w:jc w:val="center"/>
              <w:rPr>
                <w:rFonts w:hint="eastAsia" w:ascii="仿宋" w:hAnsi="仿宋" w:eastAsia="仿宋" w:cs="仿宋"/>
                <w:color w:val="0000FF"/>
                <w:sz w:val="24"/>
              </w:rPr>
            </w:pPr>
          </w:p>
        </w:tc>
        <w:tc>
          <w:tcPr>
            <w:tcW w:w="2712" w:type="dxa"/>
            <w:vAlign w:val="center"/>
          </w:tcPr>
          <w:p>
            <w:pPr>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232" w:type="dxa"/>
            <w:vAlign w:val="center"/>
          </w:tcPr>
          <w:p>
            <w:pPr>
              <w:snapToGrid w:val="0"/>
              <w:spacing w:line="360" w:lineRule="auto"/>
              <w:jc w:val="center"/>
              <w:rPr>
                <w:rFonts w:hint="eastAsia" w:ascii="仿宋" w:hAnsi="仿宋" w:eastAsia="仿宋" w:cs="仿宋"/>
                <w:color w:val="0000FF"/>
                <w:sz w:val="24"/>
              </w:rPr>
            </w:pPr>
          </w:p>
        </w:tc>
        <w:tc>
          <w:tcPr>
            <w:tcW w:w="1602" w:type="dxa"/>
            <w:vAlign w:val="center"/>
          </w:tcPr>
          <w:p>
            <w:pPr>
              <w:snapToGrid w:val="0"/>
              <w:spacing w:line="360" w:lineRule="auto"/>
              <w:jc w:val="center"/>
              <w:rPr>
                <w:rFonts w:hint="eastAsia" w:ascii="仿宋" w:hAnsi="仿宋" w:eastAsia="仿宋" w:cs="仿宋"/>
                <w:color w:val="0000FF"/>
                <w:sz w:val="24"/>
              </w:rPr>
            </w:pPr>
          </w:p>
        </w:tc>
        <w:tc>
          <w:tcPr>
            <w:tcW w:w="2711" w:type="dxa"/>
            <w:vAlign w:val="center"/>
          </w:tcPr>
          <w:p>
            <w:pPr>
              <w:snapToGrid w:val="0"/>
              <w:spacing w:line="360" w:lineRule="auto"/>
              <w:jc w:val="center"/>
              <w:rPr>
                <w:rFonts w:hint="eastAsia" w:ascii="仿宋" w:hAnsi="仿宋" w:eastAsia="仿宋" w:cs="仿宋"/>
                <w:color w:val="0000FF"/>
                <w:sz w:val="24"/>
              </w:rPr>
            </w:pPr>
          </w:p>
        </w:tc>
        <w:tc>
          <w:tcPr>
            <w:tcW w:w="863" w:type="dxa"/>
            <w:vAlign w:val="center"/>
          </w:tcPr>
          <w:p>
            <w:pPr>
              <w:snapToGrid w:val="0"/>
              <w:spacing w:line="360" w:lineRule="auto"/>
              <w:jc w:val="center"/>
              <w:rPr>
                <w:rFonts w:hint="eastAsia" w:ascii="仿宋" w:hAnsi="仿宋" w:eastAsia="仿宋" w:cs="仿宋"/>
                <w:color w:val="0000FF"/>
                <w:sz w:val="24"/>
              </w:rPr>
            </w:pPr>
          </w:p>
        </w:tc>
        <w:tc>
          <w:tcPr>
            <w:tcW w:w="1355" w:type="dxa"/>
            <w:vAlign w:val="center"/>
          </w:tcPr>
          <w:p>
            <w:pPr>
              <w:spacing w:line="360" w:lineRule="auto"/>
              <w:jc w:val="center"/>
              <w:rPr>
                <w:rFonts w:hint="eastAsia" w:ascii="仿宋" w:hAnsi="仿宋" w:eastAsia="仿宋" w:cs="仿宋"/>
                <w:color w:val="0000FF"/>
                <w:sz w:val="24"/>
              </w:rPr>
            </w:pPr>
          </w:p>
        </w:tc>
        <w:tc>
          <w:tcPr>
            <w:tcW w:w="1725" w:type="dxa"/>
            <w:vAlign w:val="center"/>
          </w:tcPr>
          <w:p>
            <w:pPr>
              <w:spacing w:line="360" w:lineRule="auto"/>
              <w:jc w:val="center"/>
              <w:rPr>
                <w:rFonts w:hint="eastAsia" w:ascii="仿宋" w:hAnsi="仿宋" w:eastAsia="仿宋" w:cs="仿宋"/>
                <w:color w:val="0000FF"/>
                <w:sz w:val="24"/>
              </w:rPr>
            </w:pPr>
          </w:p>
        </w:tc>
        <w:tc>
          <w:tcPr>
            <w:tcW w:w="2712" w:type="dxa"/>
            <w:vAlign w:val="center"/>
          </w:tcPr>
          <w:p>
            <w:pPr>
              <w:spacing w:line="360" w:lineRule="auto"/>
              <w:jc w:val="center"/>
              <w:rPr>
                <w:rFonts w:hint="eastAsia" w:ascii="仿宋" w:hAnsi="仿宋" w:eastAsia="仿宋" w:cs="仿宋"/>
                <w:color w:val="0000FF"/>
                <w:sz w:val="24"/>
              </w:rPr>
            </w:pPr>
          </w:p>
        </w:tc>
        <w:tc>
          <w:tcPr>
            <w:tcW w:w="2712" w:type="dxa"/>
            <w:vAlign w:val="center"/>
          </w:tcPr>
          <w:p>
            <w:pPr>
              <w:spacing w:line="360" w:lineRule="auto"/>
              <w:jc w:val="center"/>
              <w:rPr>
                <w:rFonts w:hint="eastAsia" w:ascii="仿宋" w:hAnsi="仿宋" w:eastAsia="仿宋" w:cs="仿宋"/>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sz w:val="24"/>
              </w:rPr>
            </w:pPr>
          </w:p>
        </w:tc>
        <w:tc>
          <w:tcPr>
            <w:tcW w:w="1232" w:type="dxa"/>
            <w:vAlign w:val="center"/>
          </w:tcPr>
          <w:p>
            <w:pPr>
              <w:snapToGrid w:val="0"/>
              <w:spacing w:line="360" w:lineRule="auto"/>
              <w:jc w:val="center"/>
              <w:rPr>
                <w:rFonts w:hint="eastAsia" w:ascii="仿宋" w:hAnsi="仿宋" w:eastAsia="仿宋" w:cs="仿宋"/>
                <w:sz w:val="24"/>
              </w:rPr>
            </w:pPr>
          </w:p>
        </w:tc>
        <w:tc>
          <w:tcPr>
            <w:tcW w:w="1602" w:type="dxa"/>
            <w:vAlign w:val="center"/>
          </w:tcPr>
          <w:p>
            <w:pPr>
              <w:snapToGrid w:val="0"/>
              <w:spacing w:line="360" w:lineRule="auto"/>
              <w:jc w:val="center"/>
              <w:rPr>
                <w:rFonts w:hint="eastAsia" w:ascii="仿宋" w:hAnsi="仿宋" w:eastAsia="仿宋" w:cs="仿宋"/>
                <w:sz w:val="24"/>
              </w:rPr>
            </w:pPr>
          </w:p>
        </w:tc>
        <w:tc>
          <w:tcPr>
            <w:tcW w:w="2711" w:type="dxa"/>
            <w:vAlign w:val="center"/>
          </w:tcPr>
          <w:p>
            <w:pPr>
              <w:snapToGrid w:val="0"/>
              <w:spacing w:line="360" w:lineRule="auto"/>
              <w:jc w:val="center"/>
              <w:rPr>
                <w:rFonts w:hint="eastAsia" w:ascii="仿宋" w:hAnsi="仿宋" w:eastAsia="仿宋" w:cs="仿宋"/>
                <w:sz w:val="24"/>
              </w:rPr>
            </w:pPr>
          </w:p>
        </w:tc>
        <w:tc>
          <w:tcPr>
            <w:tcW w:w="863" w:type="dxa"/>
            <w:vAlign w:val="center"/>
          </w:tcPr>
          <w:p>
            <w:pPr>
              <w:snapToGrid w:val="0"/>
              <w:spacing w:line="360" w:lineRule="auto"/>
              <w:jc w:val="center"/>
              <w:rPr>
                <w:rFonts w:hint="eastAsia" w:ascii="仿宋" w:hAnsi="仿宋" w:eastAsia="仿宋" w:cs="仿宋"/>
                <w:sz w:val="24"/>
              </w:rPr>
            </w:pPr>
          </w:p>
        </w:tc>
        <w:tc>
          <w:tcPr>
            <w:tcW w:w="1355" w:type="dxa"/>
            <w:vAlign w:val="center"/>
          </w:tcPr>
          <w:p>
            <w:pPr>
              <w:spacing w:line="360" w:lineRule="auto"/>
              <w:jc w:val="center"/>
              <w:rPr>
                <w:rFonts w:hint="eastAsia" w:ascii="仿宋" w:hAnsi="仿宋" w:eastAsia="仿宋" w:cs="仿宋"/>
                <w:sz w:val="24"/>
              </w:rPr>
            </w:pPr>
          </w:p>
        </w:tc>
        <w:tc>
          <w:tcPr>
            <w:tcW w:w="1725" w:type="dxa"/>
            <w:vAlign w:val="center"/>
          </w:tcPr>
          <w:p>
            <w:pPr>
              <w:spacing w:line="360" w:lineRule="auto"/>
              <w:jc w:val="center"/>
              <w:rPr>
                <w:rFonts w:hint="eastAsia" w:ascii="仿宋" w:hAnsi="仿宋" w:eastAsia="仿宋" w:cs="仿宋"/>
                <w:sz w:val="24"/>
              </w:rPr>
            </w:pPr>
          </w:p>
        </w:tc>
        <w:tc>
          <w:tcPr>
            <w:tcW w:w="2712" w:type="dxa"/>
            <w:vAlign w:val="center"/>
          </w:tcPr>
          <w:p>
            <w:pPr>
              <w:spacing w:line="360" w:lineRule="auto"/>
              <w:jc w:val="center"/>
              <w:rPr>
                <w:rFonts w:hint="eastAsia" w:ascii="仿宋" w:hAnsi="仿宋" w:eastAsia="仿宋" w:cs="仿宋"/>
                <w:sz w:val="24"/>
              </w:rPr>
            </w:pPr>
          </w:p>
        </w:tc>
        <w:tc>
          <w:tcPr>
            <w:tcW w:w="271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464" w:type="dxa"/>
            <w:vAlign w:val="center"/>
          </w:tcPr>
          <w:p>
            <w:pPr>
              <w:spacing w:line="360" w:lineRule="auto"/>
              <w:jc w:val="center"/>
              <w:rPr>
                <w:rFonts w:hint="eastAsia" w:ascii="仿宋" w:hAnsi="仿宋" w:eastAsia="仿宋" w:cs="仿宋"/>
                <w:sz w:val="24"/>
              </w:rPr>
            </w:pPr>
          </w:p>
        </w:tc>
        <w:tc>
          <w:tcPr>
            <w:tcW w:w="1232" w:type="dxa"/>
            <w:vAlign w:val="center"/>
          </w:tcPr>
          <w:p>
            <w:pPr>
              <w:snapToGrid w:val="0"/>
              <w:spacing w:line="360" w:lineRule="auto"/>
              <w:jc w:val="center"/>
              <w:rPr>
                <w:rFonts w:hint="eastAsia" w:ascii="仿宋" w:hAnsi="仿宋" w:eastAsia="仿宋" w:cs="仿宋"/>
                <w:sz w:val="24"/>
              </w:rPr>
            </w:pPr>
          </w:p>
        </w:tc>
        <w:tc>
          <w:tcPr>
            <w:tcW w:w="1602" w:type="dxa"/>
            <w:vAlign w:val="center"/>
          </w:tcPr>
          <w:p>
            <w:pPr>
              <w:snapToGrid w:val="0"/>
              <w:spacing w:line="360" w:lineRule="auto"/>
              <w:jc w:val="center"/>
              <w:rPr>
                <w:rFonts w:hint="eastAsia" w:ascii="仿宋" w:hAnsi="仿宋" w:eastAsia="仿宋" w:cs="仿宋"/>
                <w:sz w:val="24"/>
              </w:rPr>
            </w:pPr>
          </w:p>
        </w:tc>
        <w:tc>
          <w:tcPr>
            <w:tcW w:w="2711" w:type="dxa"/>
            <w:vAlign w:val="center"/>
          </w:tcPr>
          <w:p>
            <w:pPr>
              <w:snapToGrid w:val="0"/>
              <w:spacing w:line="360" w:lineRule="auto"/>
              <w:jc w:val="center"/>
              <w:rPr>
                <w:rFonts w:hint="eastAsia" w:ascii="仿宋" w:hAnsi="仿宋" w:eastAsia="仿宋" w:cs="仿宋"/>
                <w:sz w:val="24"/>
              </w:rPr>
            </w:pPr>
          </w:p>
        </w:tc>
        <w:tc>
          <w:tcPr>
            <w:tcW w:w="863" w:type="dxa"/>
            <w:vAlign w:val="center"/>
          </w:tcPr>
          <w:p>
            <w:pPr>
              <w:snapToGrid w:val="0"/>
              <w:spacing w:line="360" w:lineRule="auto"/>
              <w:jc w:val="center"/>
              <w:rPr>
                <w:rFonts w:hint="eastAsia" w:ascii="仿宋" w:hAnsi="仿宋" w:eastAsia="仿宋" w:cs="仿宋"/>
                <w:sz w:val="24"/>
              </w:rPr>
            </w:pPr>
          </w:p>
        </w:tc>
        <w:tc>
          <w:tcPr>
            <w:tcW w:w="1355" w:type="dxa"/>
            <w:vAlign w:val="center"/>
          </w:tcPr>
          <w:p>
            <w:pPr>
              <w:spacing w:line="360" w:lineRule="auto"/>
              <w:jc w:val="center"/>
              <w:rPr>
                <w:rFonts w:hint="eastAsia" w:ascii="仿宋" w:hAnsi="仿宋" w:eastAsia="仿宋" w:cs="仿宋"/>
                <w:sz w:val="24"/>
              </w:rPr>
            </w:pPr>
          </w:p>
        </w:tc>
        <w:tc>
          <w:tcPr>
            <w:tcW w:w="1725" w:type="dxa"/>
            <w:vAlign w:val="center"/>
          </w:tcPr>
          <w:p>
            <w:pPr>
              <w:spacing w:line="360" w:lineRule="auto"/>
              <w:jc w:val="center"/>
              <w:rPr>
                <w:rFonts w:hint="eastAsia" w:ascii="仿宋" w:hAnsi="仿宋" w:eastAsia="仿宋" w:cs="仿宋"/>
                <w:sz w:val="24"/>
              </w:rPr>
            </w:pPr>
          </w:p>
        </w:tc>
        <w:tc>
          <w:tcPr>
            <w:tcW w:w="2712" w:type="dxa"/>
            <w:vAlign w:val="center"/>
          </w:tcPr>
          <w:p>
            <w:pPr>
              <w:spacing w:line="360" w:lineRule="auto"/>
              <w:jc w:val="center"/>
              <w:rPr>
                <w:rFonts w:hint="eastAsia" w:ascii="仿宋" w:hAnsi="仿宋" w:eastAsia="仿宋" w:cs="仿宋"/>
                <w:sz w:val="24"/>
              </w:rPr>
            </w:pPr>
          </w:p>
        </w:tc>
        <w:tc>
          <w:tcPr>
            <w:tcW w:w="271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009"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9367" w:type="dxa"/>
            <w:gridSpan w:val="5"/>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009"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9367" w:type="dxa"/>
            <w:gridSpan w:val="5"/>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5"/>
        <w:ind w:firstLine="480" w:firstLineChars="200"/>
        <w:rPr>
          <w:rFonts w:hint="eastAsia" w:ascii="仿宋" w:hAnsi="仿宋" w:eastAsia="仿宋" w:cs="仿宋"/>
          <w:b/>
          <w:bCs/>
          <w:kern w:val="0"/>
          <w:lang w:val="en-US"/>
        </w:rPr>
        <w:sectPr>
          <w:pgSz w:w="16838" w:h="11906" w:orient="landscape"/>
          <w:pgMar w:top="1418" w:right="1247" w:bottom="1418" w:left="1276" w:header="851" w:footer="992" w:gutter="0"/>
          <w:cols w:space="720" w:num="1"/>
          <w:titlePg/>
          <w:docGrid w:linePitch="312" w:charSpace="0"/>
        </w:sectPr>
      </w:pPr>
      <w:r>
        <w:rPr>
          <w:rFonts w:hint="eastAsia" w:ascii="仿宋" w:hAnsi="仿宋" w:eastAsia="仿宋" w:cs="仿宋"/>
          <w:kern w:val="0"/>
          <w:lang w:val="en-US"/>
        </w:rPr>
        <w:t>5、</w:t>
      </w:r>
      <w:r>
        <w:rPr>
          <w:rFonts w:hint="eastAsia" w:ascii="仿宋" w:hAnsi="仿宋" w:eastAsia="仿宋" w:cs="仿宋"/>
          <w:b/>
          <w:bCs/>
          <w:kern w:val="0"/>
          <w:lang w:val="en-US"/>
        </w:rPr>
        <w:t>特别说明：</w:t>
      </w:r>
      <w:r>
        <w:rPr>
          <w:rFonts w:hint="eastAsia" w:ascii="仿宋" w:hAnsi="仿宋" w:eastAsia="仿宋" w:cs="仿宋"/>
        </w:rPr>
        <w:t>▲</w:t>
      </w:r>
      <w:r>
        <w:rPr>
          <w:rFonts w:hint="eastAsia" w:ascii="仿宋" w:hAnsi="仿宋" w:eastAsia="仿宋" w:cs="仿宋"/>
          <w:b/>
          <w:bCs/>
          <w:kern w:val="0"/>
          <w:lang w:val="en-US"/>
        </w:rPr>
        <w:t>供应商报价低于项目预算50%的，应当在报价文件中详细阐述不影响产品质量或者诚信履约的具体原因。</w:t>
      </w:r>
    </w:p>
    <w:p>
      <w:pPr>
        <w:pStyle w:val="3"/>
        <w:keepNext w:val="0"/>
        <w:keepLines w:val="0"/>
        <w:pageBreakBefore/>
        <w:widowControl/>
        <w:spacing w:before="100" w:beforeAutospacing="1" w:after="100" w:afterAutospacing="1" w:line="360" w:lineRule="auto"/>
        <w:ind w:left="0" w:firstLine="3975" w:firstLineChars="900"/>
        <w:rPr>
          <w:rFonts w:hint="eastAsia" w:ascii="仿宋" w:hAnsi="仿宋" w:eastAsia="仿宋" w:cs="仿宋"/>
        </w:rPr>
      </w:pPr>
      <w:bookmarkStart w:id="398" w:name="_Toc465665161"/>
      <w:r>
        <w:rPr>
          <w:rFonts w:hint="eastAsia" w:ascii="仿宋" w:hAnsi="仿宋" w:eastAsia="仿宋" w:cs="仿宋"/>
        </w:rPr>
        <w:t>附件</w:t>
      </w:r>
      <w:bookmarkEnd w:id="398"/>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399" w:name="OLE_LINK13"/>
      <w:bookmarkStart w:id="400" w:name="OLE_LINK14"/>
      <w:r>
        <w:rPr>
          <w:rFonts w:hint="eastAsia" w:ascii="仿宋" w:hAnsi="仿宋" w:eastAsia="仿宋" w:cs="仿宋"/>
          <w:b/>
          <w:spacing w:val="6"/>
          <w:sz w:val="32"/>
          <w:szCs w:val="32"/>
        </w:rPr>
        <w:t>残疾人福利性单位声明函</w:t>
      </w:r>
    </w:p>
    <w:bookmarkEnd w:id="399"/>
    <w:bookmarkEnd w:id="400"/>
    <w:p>
      <w:pPr>
        <w:spacing w:line="360" w:lineRule="auto"/>
        <w:rPr>
          <w:rFonts w:hint="eastAsia" w:ascii="仿宋" w:hAnsi="仿宋" w:eastAsia="仿宋" w:cs="仿宋"/>
          <w:b/>
          <w:spacing w:val="6"/>
          <w:sz w:val="30"/>
          <w:szCs w:val="30"/>
        </w:rPr>
      </w:pP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lang w:val="en-US" w:eastAsia="zh-CN"/>
        </w:rPr>
        <w:t>淳安县两山生态资源经营开发有限公司</w:t>
      </w:r>
      <w:r>
        <w:rPr>
          <w:rFonts w:hint="eastAsia" w:ascii="仿宋" w:hAnsi="仿宋" w:eastAsia="仿宋" w:cs="仿宋"/>
          <w:sz w:val="24"/>
        </w:rPr>
        <w:t>单位的</w:t>
      </w:r>
      <w:r>
        <w:rPr>
          <w:rFonts w:hint="eastAsia" w:ascii="仿宋" w:hAnsi="仿宋" w:eastAsia="仿宋" w:cs="仿宋"/>
          <w:sz w:val="24"/>
          <w:u w:val="single"/>
          <w:lang w:eastAsia="zh-CN"/>
        </w:rPr>
        <w:t>两山公司一期（首批）项目建设支撑体系设备（5）巡护船（艇）采购项目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79"/>
        <w:rPr>
          <w:rFonts w:hint="eastAsia" w:ascii="仿宋" w:hAnsi="仿宋" w:eastAsia="仿宋" w:cs="仿宋"/>
          <w:sz w:val="24"/>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FF0000"/>
          <w:sz w:val="32"/>
          <w:szCs w:val="32"/>
        </w:rPr>
      </w:pPr>
      <w:r>
        <w:rPr>
          <w:rFonts w:hint="eastAsia" w:ascii="仿宋" w:hAnsi="仿宋" w:eastAsia="仿宋" w:cs="仿宋"/>
          <w:color w:val="FF0000"/>
          <w:sz w:val="32"/>
          <w:szCs w:val="32"/>
        </w:rPr>
        <w:t>中小企业声明函</w:t>
      </w:r>
      <w:bookmarkStart w:id="401" w:name="_Hlk101259491"/>
      <w:r>
        <w:rPr>
          <w:rFonts w:hint="eastAsia" w:ascii="仿宋" w:hAnsi="仿宋" w:eastAsia="仿宋" w:cs="仿宋"/>
          <w:color w:val="FF0000"/>
          <w:sz w:val="32"/>
          <w:szCs w:val="32"/>
        </w:rPr>
        <w:t>（如果有）</w:t>
      </w:r>
      <w:bookmarkEnd w:id="401"/>
    </w:p>
    <w:p>
      <w:pPr>
        <w:widowControl/>
        <w:spacing w:line="360" w:lineRule="auto"/>
        <w:ind w:firstLine="361" w:firstLineChars="150"/>
        <w:jc w:val="left"/>
        <w:rPr>
          <w:rFonts w:hint="eastAsia" w:ascii="仿宋" w:hAnsi="仿宋" w:eastAsia="仿宋" w:cs="仿宋"/>
          <w:b/>
          <w:color w:val="FF0000"/>
          <w:sz w:val="24"/>
        </w:rPr>
      </w:pPr>
      <w:r>
        <w:rPr>
          <w:rFonts w:hint="eastAsia" w:ascii="仿宋" w:hAnsi="仿宋" w:eastAsia="仿宋" w:cs="仿宋"/>
          <w:b/>
          <w:color w:val="FF0000"/>
          <w:sz w:val="24"/>
        </w:rPr>
        <w:t>本项目或标项未预留份额专门面向中小企业</w:t>
      </w:r>
      <w:r>
        <w:rPr>
          <w:rFonts w:hint="eastAsia" w:ascii="仿宋" w:hAnsi="仿宋" w:eastAsia="仿宋" w:cs="仿宋"/>
          <w:b/>
          <w:color w:val="FF0000"/>
          <w:sz w:val="24"/>
          <w:lang w:eastAsia="zh-CN"/>
        </w:rPr>
        <w:t>。</w:t>
      </w:r>
      <w:r>
        <w:rPr>
          <w:rFonts w:hint="eastAsia" w:ascii="仿宋" w:hAnsi="仿宋" w:eastAsia="仿宋" w:cs="仿宋"/>
          <w:b/>
          <w:color w:val="FF0000"/>
          <w:sz w:val="24"/>
        </w:rPr>
        <w:t>符合《政府采购促进中小企业发展管理办法》规定的小微企业拟享受价格扣除政策的，需提供中小企业声明函（附件</w:t>
      </w:r>
      <w:r>
        <w:rPr>
          <w:rFonts w:hint="eastAsia" w:ascii="仿宋" w:hAnsi="仿宋" w:eastAsia="仿宋" w:cs="仿宋"/>
          <w:b/>
          <w:color w:val="FF0000"/>
          <w:sz w:val="24"/>
          <w:lang w:val="en-US" w:eastAsia="zh-CN"/>
        </w:rPr>
        <w:t>2</w:t>
      </w:r>
      <w:r>
        <w:rPr>
          <w:rFonts w:hint="eastAsia" w:ascii="仿宋" w:hAnsi="仿宋" w:eastAsia="仿宋" w:cs="仿宋"/>
          <w:b/>
          <w:color w:val="FF0000"/>
          <w:sz w:val="24"/>
        </w:rPr>
        <w:t>）。</w:t>
      </w:r>
    </w:p>
    <w:p>
      <w:pPr>
        <w:snapToGrid w:val="0"/>
        <w:spacing w:line="360" w:lineRule="auto"/>
        <w:outlineLvl w:val="0"/>
        <w:rPr>
          <w:rFonts w:hint="eastAsia" w:ascii="仿宋" w:hAnsi="仿宋" w:eastAsia="仿宋" w:cs="仿宋"/>
          <w:b/>
          <w:color w:val="FF0000"/>
          <w:kern w:val="0"/>
          <w:sz w:val="32"/>
          <w:szCs w:val="32"/>
        </w:rPr>
      </w:pPr>
    </w:p>
    <w:p>
      <w:pPr>
        <w:snapToGrid w:val="0"/>
        <w:spacing w:line="360" w:lineRule="auto"/>
        <w:outlineLvl w:val="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附件</w:t>
      </w:r>
      <w:r>
        <w:rPr>
          <w:rFonts w:hint="eastAsia" w:ascii="仿宋" w:hAnsi="仿宋" w:eastAsia="仿宋" w:cs="仿宋"/>
          <w:b/>
          <w:color w:val="auto"/>
          <w:kern w:val="0"/>
          <w:sz w:val="32"/>
          <w:szCs w:val="32"/>
          <w:lang w:val="en-US" w:eastAsia="zh-CN"/>
        </w:rPr>
        <w:t>2</w:t>
      </w:r>
      <w:r>
        <w:rPr>
          <w:rFonts w:hint="eastAsia" w:ascii="仿宋" w:hAnsi="仿宋" w:eastAsia="仿宋" w:cs="仿宋"/>
          <w:b/>
          <w:color w:val="auto"/>
          <w:kern w:val="0"/>
          <w:sz w:val="32"/>
          <w:szCs w:val="32"/>
        </w:rPr>
        <w:t>：中小企业声明函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中小企业声明函（货物）</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本公司（联合体）郑重声明，根据《政府采购促进中小企业发展管理办法》（财库﹝2020﹞46 号）的规定，本公司为</w:t>
      </w:r>
      <w:r>
        <w:rPr>
          <w:rFonts w:hint="eastAsia" w:ascii="仿宋" w:hAnsi="仿宋" w:eastAsia="仿宋" w:cs="仿宋"/>
          <w:color w:val="auto"/>
          <w:sz w:val="24"/>
          <w:u w:val="single"/>
        </w:rPr>
        <w:t xml:space="preserve">                </w:t>
      </w:r>
      <w:r>
        <w:rPr>
          <w:rFonts w:hint="eastAsia" w:ascii="仿宋" w:hAnsi="仿宋" w:eastAsia="仿宋" w:cs="仿宋"/>
          <w:color w:val="auto"/>
          <w:sz w:val="24"/>
        </w:rPr>
        <w:t>（请填写：中型、小型、微型）企业。</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本公司（联合体）参加</w:t>
      </w:r>
      <w:r>
        <w:rPr>
          <w:rFonts w:hint="eastAsia" w:ascii="仿宋" w:hAnsi="仿宋" w:eastAsia="仿宋" w:cs="仿宋"/>
          <w:color w:val="auto"/>
          <w:sz w:val="24"/>
          <w:u w:val="single"/>
        </w:rPr>
        <w:t xml:space="preserve"> 淳安县</w:t>
      </w:r>
      <w:r>
        <w:rPr>
          <w:rFonts w:hint="eastAsia" w:ascii="仿宋" w:hAnsi="仿宋" w:eastAsia="仿宋" w:cs="仿宋"/>
          <w:color w:val="auto"/>
          <w:sz w:val="24"/>
          <w:u w:val="single"/>
          <w:lang w:val="en-US" w:eastAsia="zh-CN"/>
        </w:rPr>
        <w:t>XXXXX公司</w:t>
      </w:r>
      <w:r>
        <w:rPr>
          <w:rFonts w:hint="eastAsia" w:ascii="仿宋" w:hAnsi="仿宋" w:eastAsia="仿宋" w:cs="仿宋"/>
          <w:color w:val="auto"/>
          <w:sz w:val="24"/>
        </w:rPr>
        <w:t xml:space="preserve">的 </w:t>
      </w:r>
      <w:r>
        <w:rPr>
          <w:rFonts w:hint="eastAsia" w:ascii="仿宋" w:hAnsi="仿宋" w:eastAsia="仿宋" w:cs="仿宋"/>
          <w:color w:val="auto"/>
          <w:sz w:val="24"/>
          <w:u w:val="single"/>
          <w:lang w:val="en-US" w:eastAsia="zh-CN"/>
        </w:rPr>
        <w:t xml:space="preserve"> XXXXXXX</w:t>
      </w:r>
      <w:r>
        <w:rPr>
          <w:rFonts w:hint="eastAsia" w:ascii="仿宋" w:hAnsi="仿宋" w:eastAsia="仿宋" w:cs="仿宋"/>
          <w:color w:val="auto"/>
          <w:sz w:val="24"/>
          <w:u w:val="single"/>
        </w:rPr>
        <w:t>采购项目</w:t>
      </w:r>
      <w:r>
        <w:rPr>
          <w:rFonts w:hint="eastAsia" w:ascii="仿宋" w:hAnsi="仿宋" w:eastAsia="仿宋" w:cs="仿宋"/>
          <w:color w:val="auto"/>
          <w:sz w:val="24"/>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 xml:space="preserve">1.  </w:t>
      </w:r>
      <w:r>
        <w:rPr>
          <w:rFonts w:hint="eastAsia" w:ascii="仿宋" w:hAnsi="仿宋" w:eastAsia="仿宋" w:cs="仿宋"/>
          <w:color w:val="auto"/>
          <w:sz w:val="24"/>
          <w:u w:val="single"/>
          <w:lang w:val="en-US" w:eastAsia="zh-CN"/>
        </w:rPr>
        <w:t>17.8m巡护船</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工业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10.56m巡护艇</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工业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r>
        <w:rPr>
          <w:rFonts w:hint="eastAsia" w:ascii="仿宋" w:hAnsi="仿宋" w:eastAsia="仿宋" w:cs="仿宋"/>
          <w:color w:val="auto"/>
          <w:sz w:val="24"/>
        </w:rPr>
        <w:t xml:space="preserve">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val="en-US" w:eastAsia="zh-CN"/>
        </w:rPr>
        <w:t>7.68m巡护艇</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工业</w:t>
      </w:r>
      <w:r>
        <w:rPr>
          <w:rFonts w:hint="eastAsia" w:ascii="仿宋" w:hAnsi="仿宋" w:eastAsia="仿宋" w:cs="仿宋"/>
          <w:color w:val="auto"/>
          <w:sz w:val="24"/>
        </w:rPr>
        <w:t>行业 ；制造商为</w:t>
      </w:r>
      <w:r>
        <w:rPr>
          <w:rFonts w:hint="eastAsia" w:ascii="仿宋" w:hAnsi="仿宋" w:eastAsia="仿宋" w:cs="仿宋"/>
          <w:color w:val="auto"/>
          <w:sz w:val="24"/>
          <w:u w:val="single"/>
        </w:rPr>
        <w:t xml:space="preserve"> （企业名称）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w:t>
      </w:r>
    </w:p>
    <w:p>
      <w:pPr>
        <w:spacing w:line="360" w:lineRule="auto"/>
        <w:ind w:firstLine="480" w:firstLineChars="200"/>
        <w:rPr>
          <w:rFonts w:hint="eastAsia" w:ascii="仿宋" w:hAnsi="仿宋" w:eastAsia="仿宋" w:cs="仿宋"/>
          <w:color w:val="auto"/>
          <w:sz w:val="24"/>
          <w:lang w:val="en-US" w:eastAsia="zh-CN"/>
        </w:rPr>
      </w:pP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pacing w:line="360" w:lineRule="auto"/>
        <w:jc w:val="left"/>
        <w:rPr>
          <w:rFonts w:hint="eastAsia" w:ascii="仿宋" w:hAnsi="仿宋" w:eastAsia="仿宋" w:cs="仿宋"/>
          <w:color w:val="auto"/>
          <w:sz w:val="18"/>
          <w:szCs w:val="18"/>
        </w:rPr>
      </w:pPr>
      <w:r>
        <w:rPr>
          <w:rFonts w:hint="eastAsia" w:ascii="仿宋" w:hAnsi="仿宋" w:eastAsia="仿宋" w:cs="仿宋"/>
          <w:color w:val="auto"/>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hint="eastAsia" w:ascii="仿宋" w:hAnsi="仿宋" w:eastAsia="仿宋" w:cs="仿宋"/>
          <w:b/>
          <w:color w:val="auto"/>
          <w:kern w:val="0"/>
          <w:sz w:val="32"/>
          <w:szCs w:val="32"/>
        </w:rPr>
      </w:pP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pStyle w:val="79"/>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w:t>
      </w:r>
      <w:r>
        <w:rPr>
          <w:rFonts w:hint="eastAsia" w:ascii="仿宋" w:hAnsi="仿宋" w:eastAsia="仿宋" w:cs="仿宋"/>
          <w:b/>
          <w:spacing w:val="6"/>
          <w:sz w:val="32"/>
          <w:szCs w:val="32"/>
          <w:lang w:val="en-US" w:eastAsia="zh-CN"/>
        </w:rPr>
        <w:t>3</w:t>
      </w:r>
      <w:r>
        <w:rPr>
          <w:rFonts w:hint="eastAsia" w:ascii="仿宋" w:hAnsi="仿宋" w:eastAsia="仿宋" w:cs="仿宋"/>
          <w:b/>
          <w:spacing w:val="6"/>
          <w:sz w:val="32"/>
          <w:szCs w:val="32"/>
        </w:rPr>
        <w:t>：质疑函范本及制作说明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w:t>
      </w:r>
      <w:r>
        <w:rPr>
          <w:rFonts w:hint="eastAsia" w:ascii="仿宋" w:hAnsi="仿宋" w:eastAsia="仿宋" w:cs="仿宋"/>
          <w:b/>
          <w:spacing w:val="6"/>
          <w:sz w:val="32"/>
          <w:szCs w:val="32"/>
          <w:lang w:val="en-US" w:eastAsia="zh-CN"/>
        </w:rPr>
        <w:t>4</w:t>
      </w:r>
      <w:r>
        <w:rPr>
          <w:rFonts w:hint="eastAsia" w:ascii="仿宋" w:hAnsi="仿宋" w:eastAsia="仿宋" w:cs="仿宋"/>
          <w:b/>
          <w:spacing w:val="6"/>
          <w:sz w:val="32"/>
          <w:szCs w:val="32"/>
        </w:rPr>
        <w:t>：投诉书范本及制作说明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w:t>
      </w:r>
      <w:r>
        <w:rPr>
          <w:rFonts w:hint="eastAsia" w:ascii="仿宋" w:hAnsi="仿宋" w:eastAsia="仿宋" w:cs="仿宋"/>
          <w:b/>
          <w:spacing w:val="6"/>
          <w:sz w:val="32"/>
          <w:szCs w:val="32"/>
          <w:lang w:val="en-US" w:eastAsia="zh-CN"/>
        </w:rPr>
        <w:t>5</w:t>
      </w:r>
      <w:r>
        <w:rPr>
          <w:rFonts w:hint="eastAsia" w:ascii="仿宋" w:hAnsi="仿宋" w:eastAsia="仿宋" w:cs="仿宋"/>
          <w:b/>
          <w:spacing w:val="6"/>
          <w:sz w:val="32"/>
          <w:szCs w:val="32"/>
        </w:rPr>
        <w:t>：</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color w:val="0000FF"/>
          <w:sz w:val="24"/>
          <w:u w:val="single"/>
        </w:rPr>
      </w:pPr>
    </w:p>
    <w:p>
      <w:pPr>
        <w:snapToGrid w:val="0"/>
        <w:spacing w:line="360" w:lineRule="auto"/>
        <w:rPr>
          <w:rFonts w:hint="eastAsia" w:ascii="仿宋" w:hAnsi="仿宋" w:eastAsia="仿宋" w:cs="仿宋"/>
          <w:sz w:val="24"/>
        </w:rPr>
      </w:pPr>
      <w:r>
        <w:rPr>
          <w:rFonts w:hint="eastAsia" w:ascii="仿宋" w:hAnsi="仿宋" w:eastAsia="仿宋" w:cs="仿宋"/>
          <w:sz w:val="24"/>
          <w:lang w:val="en-US" w:eastAsia="zh-CN"/>
        </w:rPr>
        <w:t>淳安县两山生态资源经营开发有限公司</w:t>
      </w:r>
      <w:r>
        <w:rPr>
          <w:rFonts w:hint="eastAsia" w:ascii="仿宋" w:hAnsi="仿宋" w:eastAsia="仿宋" w:cs="仿宋"/>
          <w:sz w:val="24"/>
        </w:rPr>
        <w:t>、东方经纬项目管理有限公司：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sz w:val="24"/>
          <w:u w:val="single"/>
          <w:lang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rPr>
          <w:rFonts w:hint="eastAsia" w:ascii="仿宋" w:hAnsi="仿宋" w:eastAsia="仿宋" w:cs="仿宋"/>
          <w:b/>
          <w:spacing w:val="6"/>
          <w:sz w:val="32"/>
          <w:szCs w:val="32"/>
        </w:rPr>
      </w:pPr>
    </w:p>
    <w:p>
      <w:pPr>
        <w:pStyle w:val="2"/>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附件</w:t>
      </w:r>
      <w:r>
        <w:rPr>
          <w:rFonts w:hint="eastAsia" w:ascii="仿宋" w:hAnsi="仿宋" w:eastAsia="仿宋" w:cs="仿宋"/>
          <w:b/>
          <w:kern w:val="0"/>
          <w:sz w:val="32"/>
          <w:szCs w:val="32"/>
          <w:lang w:val="en-US" w:eastAsia="zh-CN"/>
        </w:rPr>
        <w:t>6</w:t>
      </w:r>
      <w:r>
        <w:rPr>
          <w:rFonts w:hint="eastAsia" w:ascii="仿宋" w:hAnsi="仿宋" w:eastAsia="仿宋" w:cs="仿宋"/>
          <w:b/>
          <w:kern w:val="0"/>
          <w:sz w:val="32"/>
          <w:szCs w:val="32"/>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u w:val="single"/>
          <w:lang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bookmarkStart w:id="402"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bookmarkEnd w:id="402"/>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rPr>
          <w:rFonts w:hint="eastAsia" w:ascii="仿宋" w:hAnsi="仿宋" w:eastAsia="仿宋" w:cs="仿宋"/>
          <w:b/>
          <w:spacing w:val="6"/>
          <w:sz w:val="32"/>
          <w:szCs w:val="32"/>
        </w:rPr>
      </w:pP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附件</w:t>
      </w:r>
      <w:r>
        <w:rPr>
          <w:rFonts w:hint="eastAsia" w:ascii="仿宋" w:hAnsi="仿宋" w:eastAsia="仿宋" w:cs="仿宋"/>
          <w:b/>
          <w:kern w:val="0"/>
          <w:sz w:val="32"/>
          <w:szCs w:val="32"/>
          <w:lang w:val="en-US" w:eastAsia="zh-CN"/>
        </w:rPr>
        <w:t>7</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u w:val="single"/>
          <w:lang w:eastAsia="zh-CN"/>
        </w:rPr>
        <w:t>两山公司一期（首批）项目建设支撑体系设备（5）巡护船（艇）采购项目</w:t>
      </w:r>
      <w:r>
        <w:rPr>
          <w:rFonts w:hint="eastAsia" w:ascii="仿宋" w:hAnsi="仿宋" w:eastAsia="仿宋" w:cs="仿宋"/>
          <w:sz w:val="24"/>
        </w:rPr>
        <w:t>【招标编号：</w:t>
      </w:r>
      <w:r>
        <w:rPr>
          <w:rFonts w:hint="eastAsia" w:ascii="仿宋" w:hAnsi="仿宋" w:eastAsia="仿宋" w:cs="仿宋"/>
          <w:sz w:val="24"/>
          <w:lang w:eastAsia="zh-CN"/>
        </w:rPr>
        <w:t>DFJW2023-CA-0</w:t>
      </w:r>
      <w:r>
        <w:rPr>
          <w:rFonts w:hint="eastAsia" w:ascii="仿宋" w:hAnsi="仿宋" w:eastAsia="仿宋" w:cs="仿宋"/>
          <w:sz w:val="24"/>
          <w:lang w:val="en-US" w:eastAsia="zh-CN"/>
        </w:rPr>
        <w:t>20</w:t>
      </w:r>
      <w:r>
        <w:rPr>
          <w:rFonts w:hint="eastAsia" w:ascii="仿宋" w:hAnsi="仿宋" w:eastAsia="仿宋" w:cs="仿宋"/>
          <w:sz w:val="24"/>
          <w:lang w:eastAsia="zh-CN"/>
        </w:rPr>
        <w:t>号</w:t>
      </w:r>
      <w:r>
        <w:rPr>
          <w:rFonts w:hint="eastAsia" w:ascii="仿宋" w:hAnsi="仿宋" w:eastAsia="仿宋" w:cs="仿宋"/>
          <w:sz w:val="24"/>
        </w:rPr>
        <w:t>】</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403"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%，其中小微企业合同金额达到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403"/>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jc w:val="center"/>
        <w:outlineLvl w:val="0"/>
        <w:rPr>
          <w:rFonts w:hint="eastAsia" w:ascii="仿宋" w:hAnsi="仿宋" w:eastAsia="仿宋" w:cs="仿宋"/>
          <w:b/>
          <w:kern w:val="0"/>
          <w:sz w:val="32"/>
          <w:szCs w:val="32"/>
        </w:rPr>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附件</w:t>
      </w:r>
      <w:r>
        <w:rPr>
          <w:rFonts w:hint="eastAsia" w:ascii="仿宋" w:hAnsi="仿宋" w:eastAsia="仿宋" w:cs="仿宋"/>
          <w:b/>
          <w:kern w:val="0"/>
          <w:sz w:val="32"/>
          <w:szCs w:val="32"/>
          <w:lang w:val="en-US" w:eastAsia="zh-CN"/>
        </w:rPr>
        <w:t>8</w:t>
      </w:r>
      <w:r>
        <w:rPr>
          <w:rFonts w:hint="eastAsia" w:ascii="仿宋" w:hAnsi="仿宋" w:eastAsia="仿宋" w:cs="仿宋"/>
          <w:b/>
          <w:kern w:val="0"/>
          <w:sz w:val="32"/>
          <w:szCs w:val="32"/>
        </w:rPr>
        <w:t xml:space="preserve">：收费附表 </w:t>
      </w:r>
    </w:p>
    <w:p>
      <w:pPr>
        <w:ind w:firstLine="723" w:firstLineChars="200"/>
        <w:rPr>
          <w:rFonts w:hint="eastAsia" w:ascii="仿宋" w:hAnsi="仿宋" w:eastAsia="仿宋" w:cs="仿宋"/>
          <w:b/>
          <w:sz w:val="36"/>
          <w:szCs w:val="36"/>
        </w:rPr>
      </w:pPr>
    </w:p>
    <w:p>
      <w:pPr>
        <w:ind w:firstLine="480" w:firstLineChars="200"/>
        <w:rPr>
          <w:rFonts w:hint="eastAsia" w:ascii="仿宋" w:hAnsi="仿宋" w:eastAsia="仿宋" w:cs="仿宋"/>
          <w:sz w:val="24"/>
        </w:rPr>
      </w:pPr>
      <w:r>
        <w:rPr>
          <w:rFonts w:hint="eastAsia" w:ascii="仿宋" w:hAnsi="仿宋" w:eastAsia="仿宋" w:cs="仿宋"/>
          <w:sz w:val="24"/>
        </w:rPr>
        <w:t>根据淳国资办[2021]32号文《淳安县国有资产监督管理办公室关于明确国有产权交易、货物与服务采购收费标准及费用分配的通知》收取招标代理费。该收费标准具体收费形式见下表：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noWrap w:val="0"/>
            <w:vAlign w:val="top"/>
          </w:tcPr>
          <w:p>
            <w:pPr>
              <w:ind w:firstLine="211"/>
              <w:rPr>
                <w:rFonts w:hint="eastAsia" w:ascii="仿宋" w:hAnsi="仿宋" w:eastAsia="仿宋" w:cs="仿宋"/>
                <w:b/>
              </w:rPr>
            </w:pPr>
            <w:r>
              <w:rPr>
                <w:rFonts w:hint="eastAsia" w:ascii="仿宋" w:hAnsi="仿宋" w:eastAsia="仿宋" w:cs="仿宋"/>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rFonts w:hint="eastAsia" w:ascii="仿宋" w:hAnsi="仿宋" w:eastAsia="仿宋" w:cs="仿宋"/>
                <w:b/>
              </w:rPr>
            </w:pPr>
            <w:r>
              <w:rPr>
                <w:rFonts w:hint="eastAsia" w:ascii="仿宋" w:hAnsi="仿宋" w:eastAsia="仿宋" w:cs="仿宋"/>
                <w:b/>
              </w:rPr>
              <w:t>　　　</w:t>
            </w:r>
          </w:p>
          <w:p>
            <w:pPr>
              <w:ind w:firstLine="843" w:firstLineChars="400"/>
              <w:rPr>
                <w:rFonts w:hint="eastAsia" w:ascii="仿宋" w:hAnsi="仿宋" w:eastAsia="仿宋" w:cs="仿宋"/>
                <w:b/>
              </w:rPr>
            </w:pPr>
            <w:r>
              <w:rPr>
                <w:rFonts w:hint="eastAsia" w:ascii="仿宋" w:hAnsi="仿宋" w:eastAsia="仿宋" w:cs="仿宋"/>
                <w:b/>
              </w:rPr>
              <w:t>服务类型</w:t>
            </w:r>
          </w:p>
          <w:p>
            <w:pPr>
              <w:ind w:firstLine="1301" w:firstLineChars="617"/>
              <w:rPr>
                <w:rFonts w:hint="eastAsia" w:ascii="仿宋" w:hAnsi="仿宋" w:eastAsia="仿宋" w:cs="仿宋"/>
                <w:b/>
              </w:rPr>
            </w:pPr>
          </w:p>
          <w:p>
            <w:pPr>
              <w:ind w:firstLine="1301" w:firstLineChars="617"/>
              <w:rPr>
                <w:rFonts w:hint="eastAsia" w:ascii="仿宋" w:hAnsi="仿宋" w:eastAsia="仿宋" w:cs="仿宋"/>
                <w:b/>
              </w:rPr>
            </w:pPr>
          </w:p>
          <w:p>
            <w:pPr>
              <w:ind w:firstLine="630" w:firstLineChars="300"/>
              <w:rPr>
                <w:rFonts w:hint="eastAsia" w:ascii="仿宋" w:hAnsi="仿宋" w:eastAsia="仿宋" w:cs="仿宋"/>
                <w:b/>
              </w:rPr>
            </w:pPr>
            <w:r>
              <w:rPr>
                <w:rFonts w:hint="eastAsia" w:ascii="仿宋" w:hAnsi="仿宋" w:eastAsia="仿宋" w:cs="仿宋"/>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ascii="仿宋" w:hAnsi="仿宋" w:eastAsia="仿宋" w:cs="仿宋"/>
                <w:b/>
              </w:rPr>
              <w:t>费率</w:t>
            </w:r>
          </w:p>
          <w:p>
            <w:pPr>
              <w:ind w:firstLine="1054"/>
              <w:rPr>
                <w:rFonts w:hint="eastAsia" w:ascii="仿宋" w:hAnsi="仿宋" w:eastAsia="仿宋" w:cs="仿宋"/>
                <w:b/>
              </w:rPr>
            </w:pPr>
            <w:r>
              <w:rPr>
                <w:rFonts w:hint="eastAsia" w:ascii="仿宋" w:hAnsi="仿宋" w:eastAsia="仿宋" w:cs="仿宋"/>
                <w:b/>
              </w:rPr>
              <w:t>　　　</w:t>
            </w:r>
          </w:p>
          <w:p>
            <w:pPr>
              <w:ind w:firstLine="1054"/>
              <w:rPr>
                <w:rFonts w:hint="eastAsia" w:ascii="仿宋" w:hAnsi="仿宋" w:eastAsia="仿宋" w:cs="仿宋"/>
                <w:b/>
              </w:rPr>
            </w:pPr>
            <w:r>
              <w:rPr>
                <w:rFonts w:hint="eastAsia" w:ascii="仿宋" w:hAnsi="仿宋" w:eastAsia="仿宋" w:cs="仿宋"/>
                <w:b/>
              </w:rPr>
              <w:t>　　　　</w:t>
            </w:r>
          </w:p>
          <w:p>
            <w:pPr>
              <w:ind w:firstLine="211" w:firstLineChars="100"/>
              <w:rPr>
                <w:rFonts w:hint="eastAsia" w:ascii="仿宋" w:hAnsi="仿宋" w:eastAsia="仿宋" w:cs="仿宋"/>
                <w:b/>
              </w:rPr>
            </w:pPr>
            <w:r>
              <w:rPr>
                <w:rFonts w:hint="eastAsia" w:ascii="仿宋" w:hAnsi="仿宋" w:eastAsia="仿宋" w:cs="仿宋"/>
                <w:b/>
              </w:rPr>
              <w:t>中标金额</w:t>
            </w:r>
          </w:p>
          <w:p>
            <w:pPr>
              <w:ind w:firstLine="211" w:firstLineChars="100"/>
              <w:rPr>
                <w:rFonts w:hint="eastAsia" w:ascii="仿宋" w:hAnsi="仿宋" w:eastAsia="仿宋" w:cs="仿宋"/>
                <w:b/>
              </w:rPr>
            </w:pPr>
            <w:r>
              <w:rPr>
                <w:rFonts w:hint="eastAsia" w:ascii="仿宋" w:hAnsi="仿宋" w:eastAsia="仿宋" w:cs="仿宋"/>
                <w:b/>
              </w:rPr>
              <w:t xml:space="preserve">（万元） </w:t>
            </w:r>
          </w:p>
        </w:tc>
        <w:tc>
          <w:tcPr>
            <w:tcW w:w="1980" w:type="dxa"/>
            <w:noWrap w:val="0"/>
            <w:vAlign w:val="center"/>
          </w:tcPr>
          <w:p>
            <w:pPr>
              <w:jc w:val="center"/>
              <w:rPr>
                <w:rFonts w:hint="eastAsia" w:ascii="仿宋" w:hAnsi="仿宋" w:eastAsia="仿宋" w:cs="仿宋"/>
                <w:b/>
              </w:rPr>
            </w:pPr>
            <w:r>
              <w:rPr>
                <w:rFonts w:hint="eastAsia" w:ascii="仿宋" w:hAnsi="仿宋" w:eastAsia="仿宋" w:cs="仿宋"/>
                <w:b/>
              </w:rPr>
              <w:t>货物招标</w:t>
            </w:r>
          </w:p>
        </w:tc>
        <w:tc>
          <w:tcPr>
            <w:tcW w:w="1980" w:type="dxa"/>
            <w:noWrap w:val="0"/>
            <w:vAlign w:val="center"/>
          </w:tcPr>
          <w:p>
            <w:pPr>
              <w:jc w:val="center"/>
              <w:rPr>
                <w:rFonts w:hint="eastAsia" w:ascii="仿宋" w:hAnsi="仿宋" w:eastAsia="仿宋" w:cs="仿宋"/>
                <w:b/>
              </w:rPr>
            </w:pPr>
            <w:r>
              <w:rPr>
                <w:rFonts w:hint="eastAsia" w:ascii="仿宋" w:hAnsi="仿宋" w:eastAsia="仿宋" w:cs="仿宋"/>
                <w:b/>
              </w:rPr>
              <w:t>服务招标</w:t>
            </w:r>
          </w:p>
        </w:tc>
        <w:tc>
          <w:tcPr>
            <w:tcW w:w="1980" w:type="dxa"/>
            <w:noWrap w:val="0"/>
            <w:vAlign w:val="center"/>
          </w:tcPr>
          <w:p>
            <w:pPr>
              <w:jc w:val="center"/>
              <w:rPr>
                <w:rFonts w:hint="eastAsia" w:ascii="仿宋" w:hAnsi="仿宋" w:eastAsia="仿宋" w:cs="仿宋"/>
                <w:b/>
              </w:rPr>
            </w:pPr>
            <w:r>
              <w:rPr>
                <w:rFonts w:hint="eastAsia" w:ascii="仿宋" w:hAnsi="仿宋" w:eastAsia="仿宋" w:cs="仿宋"/>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100以下</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1.5%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1.5%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100-500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1.1%</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0.85%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500-1000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0.8%</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0.45%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1000-5000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0.25%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5000-10000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0.25%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0.1%</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10000-50000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50000-100000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0.035%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0.035%</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100000-500000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0.008%</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0.008%</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500000-1000000</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0.006%</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0.006%</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rPr>
                <w:rFonts w:hint="eastAsia" w:ascii="仿宋" w:hAnsi="仿宋" w:eastAsia="仿宋" w:cs="仿宋"/>
              </w:rPr>
            </w:pPr>
            <w:r>
              <w:rPr>
                <w:rFonts w:hint="eastAsia" w:ascii="仿宋" w:hAnsi="仿宋" w:eastAsia="仿宋" w:cs="仿宋"/>
              </w:rPr>
              <w:t>1000000以上</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0.004%</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0.004%</w:t>
            </w:r>
          </w:p>
        </w:tc>
        <w:tc>
          <w:tcPr>
            <w:tcW w:w="1980" w:type="dxa"/>
            <w:noWrap w:val="0"/>
            <w:vAlign w:val="top"/>
          </w:tcPr>
          <w:p>
            <w:pPr>
              <w:jc w:val="center"/>
              <w:rPr>
                <w:rFonts w:hint="eastAsia" w:ascii="仿宋" w:hAnsi="仿宋" w:eastAsia="仿宋" w:cs="仿宋"/>
              </w:rPr>
            </w:pPr>
            <w:r>
              <w:rPr>
                <w:rFonts w:hint="eastAsia" w:ascii="仿宋" w:hAnsi="仿宋" w:eastAsia="仿宋" w:cs="仿宋"/>
              </w:rPr>
              <w:t>0.004%</w:t>
            </w:r>
          </w:p>
        </w:tc>
      </w:tr>
    </w:tbl>
    <w:p>
      <w:pPr>
        <w:ind w:firstLine="420" w:firstLineChars="200"/>
        <w:rPr>
          <w:rFonts w:hint="eastAsia" w:ascii="仿宋" w:hAnsi="仿宋" w:eastAsia="仿宋" w:cs="仿宋"/>
          <w:szCs w:val="21"/>
        </w:rPr>
      </w:pPr>
      <w:r>
        <w:rPr>
          <w:rFonts w:hint="eastAsia" w:ascii="仿宋" w:hAnsi="仿宋" w:eastAsia="仿宋" w:cs="仿宋"/>
          <w:szCs w:val="21"/>
        </w:rPr>
        <w:t>注：收费标准低于2000元的按2000元收取。</w:t>
      </w:r>
    </w:p>
    <w:p>
      <w:pPr>
        <w:ind w:firstLine="420" w:firstLineChars="200"/>
        <w:rPr>
          <w:rFonts w:hint="eastAsia" w:ascii="仿宋" w:hAnsi="仿宋" w:eastAsia="仿宋" w:cs="仿宋"/>
          <w:szCs w:val="21"/>
        </w:rPr>
      </w:pPr>
      <w:r>
        <w:rPr>
          <w:rFonts w:hint="eastAsia" w:ascii="仿宋" w:hAnsi="仿宋" w:eastAsia="仿宋" w:cs="仿宋"/>
          <w:szCs w:val="21"/>
        </w:rPr>
        <w:t>例：一项货物采购项目，中标金额6000万元，收费如下：</w:t>
      </w:r>
    </w:p>
    <w:p>
      <w:pPr>
        <w:ind w:firstLine="420" w:firstLineChars="200"/>
        <w:rPr>
          <w:rFonts w:hint="eastAsia" w:ascii="仿宋" w:hAnsi="仿宋" w:eastAsia="仿宋" w:cs="仿宋"/>
          <w:szCs w:val="21"/>
        </w:rPr>
      </w:pPr>
      <w:r>
        <w:rPr>
          <w:rFonts w:hint="eastAsia" w:ascii="仿宋" w:hAnsi="仿宋" w:eastAsia="仿宋" w:cs="仿宋"/>
          <w:szCs w:val="21"/>
        </w:rPr>
        <w:t>100万元×1.5％＝1.5万元</w:t>
      </w:r>
    </w:p>
    <w:p>
      <w:pPr>
        <w:ind w:firstLine="420" w:firstLineChars="200"/>
        <w:rPr>
          <w:rFonts w:hint="eastAsia" w:ascii="仿宋" w:hAnsi="仿宋" w:eastAsia="仿宋" w:cs="仿宋"/>
          <w:szCs w:val="21"/>
        </w:rPr>
      </w:pPr>
      <w:r>
        <w:rPr>
          <w:rFonts w:hint="eastAsia" w:ascii="仿宋" w:hAnsi="仿宋" w:eastAsia="仿宋" w:cs="仿宋"/>
          <w:szCs w:val="21"/>
        </w:rPr>
        <w:t>（500-100）万元×1.1％＝4.4万元</w:t>
      </w:r>
    </w:p>
    <w:p>
      <w:pPr>
        <w:ind w:firstLine="420" w:firstLineChars="200"/>
        <w:rPr>
          <w:rFonts w:hint="eastAsia" w:ascii="仿宋" w:hAnsi="仿宋" w:eastAsia="仿宋" w:cs="仿宋"/>
          <w:szCs w:val="21"/>
        </w:rPr>
      </w:pPr>
      <w:r>
        <w:rPr>
          <w:rFonts w:hint="eastAsia" w:ascii="仿宋" w:hAnsi="仿宋" w:eastAsia="仿宋" w:cs="仿宋"/>
          <w:szCs w:val="21"/>
        </w:rPr>
        <w:t>（1000-500）万元×0.8％=4万元</w:t>
      </w:r>
    </w:p>
    <w:p>
      <w:pPr>
        <w:ind w:firstLine="420" w:firstLineChars="200"/>
        <w:rPr>
          <w:rFonts w:hint="eastAsia" w:ascii="仿宋" w:hAnsi="仿宋" w:eastAsia="仿宋" w:cs="仿宋"/>
          <w:szCs w:val="21"/>
        </w:rPr>
      </w:pPr>
      <w:r>
        <w:rPr>
          <w:rFonts w:hint="eastAsia" w:ascii="仿宋" w:hAnsi="仿宋" w:eastAsia="仿宋" w:cs="仿宋"/>
          <w:szCs w:val="21"/>
        </w:rPr>
        <w:t>（5000-1000）万元×0.5％=20万元</w:t>
      </w:r>
    </w:p>
    <w:p>
      <w:pPr>
        <w:ind w:firstLine="420" w:firstLineChars="200"/>
        <w:rPr>
          <w:rFonts w:hint="eastAsia" w:ascii="仿宋" w:hAnsi="仿宋" w:eastAsia="仿宋" w:cs="仿宋"/>
          <w:szCs w:val="21"/>
        </w:rPr>
      </w:pPr>
      <w:r>
        <w:rPr>
          <w:rFonts w:hint="eastAsia" w:ascii="仿宋" w:hAnsi="仿宋" w:eastAsia="仿宋" w:cs="仿宋"/>
          <w:szCs w:val="21"/>
        </w:rPr>
        <w:t>（6000-5000）万元×0.25％=2.5万元</w:t>
      </w:r>
    </w:p>
    <w:p>
      <w:pPr>
        <w:ind w:firstLine="420" w:firstLineChars="200"/>
        <w:rPr>
          <w:rFonts w:hint="eastAsia" w:ascii="仿宋" w:hAnsi="仿宋" w:eastAsia="仿宋" w:cs="仿宋"/>
          <w:b/>
          <w:spacing w:val="6"/>
          <w:sz w:val="32"/>
          <w:szCs w:val="32"/>
        </w:rPr>
      </w:pPr>
      <w:r>
        <w:rPr>
          <w:rFonts w:hint="eastAsia" w:ascii="仿宋" w:hAnsi="仿宋" w:eastAsia="仿宋" w:cs="仿宋"/>
          <w:szCs w:val="21"/>
        </w:rPr>
        <w:t>合计收费＝1.5+4.4+4+20+2.5＝32.4万元</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1"/>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404" w:name="_Toc164085800"/>
    <w:bookmarkStart w:id="405" w:name="_Toc36110187"/>
    <w:bookmarkStart w:id="406" w:name="_Toc131845147"/>
    <w:bookmarkStart w:id="407" w:name="_Toc91899912"/>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3E28D9"/>
    <w:multiLevelType w:val="singleLevel"/>
    <w:tmpl w:val="A03E28D9"/>
    <w:lvl w:ilvl="0" w:tentative="0">
      <w:start w:val="1"/>
      <w:numFmt w:val="decimal"/>
      <w:suff w:val="space"/>
      <w:lvlText w:val="%1."/>
      <w:lvlJc w:val="left"/>
    </w:lvl>
  </w:abstractNum>
  <w:abstractNum w:abstractNumId="1">
    <w:nsid w:val="B55A32BA"/>
    <w:multiLevelType w:val="singleLevel"/>
    <w:tmpl w:val="B55A32BA"/>
    <w:lvl w:ilvl="0" w:tentative="0">
      <w:start w:val="2"/>
      <w:numFmt w:val="chineseCounting"/>
      <w:suff w:val="nothing"/>
      <w:lvlText w:val="%1、"/>
      <w:lvlJc w:val="left"/>
      <w:rPr>
        <w:rFonts w:hint="eastAsia"/>
      </w:rPr>
    </w:lvl>
  </w:abstractNum>
  <w:abstractNum w:abstractNumId="2">
    <w:nsid w:val="165A3542"/>
    <w:multiLevelType w:val="singleLevel"/>
    <w:tmpl w:val="165A3542"/>
    <w:lvl w:ilvl="0" w:tentative="0">
      <w:start w:val="3"/>
      <w:numFmt w:val="chineseCounting"/>
      <w:suff w:val="space"/>
      <w:lvlText w:val="第%1部分"/>
      <w:lvlJc w:val="left"/>
      <w:rPr>
        <w:rFonts w:hint="eastAsia"/>
      </w:rPr>
    </w:lvl>
  </w:abstractNum>
  <w:abstractNum w:abstractNumId="3">
    <w:nsid w:val="1D1725D3"/>
    <w:multiLevelType w:val="multilevel"/>
    <w:tmpl w:val="1D1725D3"/>
    <w:lvl w:ilvl="0" w:tentative="0">
      <w:start w:val="3"/>
      <w:numFmt w:val="japaneseCounting"/>
      <w:lvlText w:val="第%1条"/>
      <w:lvlJc w:val="left"/>
      <w:pPr>
        <w:tabs>
          <w:tab w:val="left" w:pos="1400"/>
        </w:tabs>
        <w:ind w:left="1400" w:hanging="840"/>
      </w:pPr>
      <w:rPr>
        <w:rFonts w:hint="eastAsia"/>
        <w:lang w:val="en-US"/>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273B0BF7"/>
    <w:multiLevelType w:val="singleLevel"/>
    <w:tmpl w:val="273B0BF7"/>
    <w:lvl w:ilvl="0" w:tentative="0">
      <w:start w:val="1"/>
      <w:numFmt w:val="decimal"/>
      <w:suff w:val="nothing"/>
      <w:lvlText w:val="（%1）"/>
      <w:lvlJc w:val="left"/>
    </w:lvl>
  </w:abstractNum>
  <w:abstractNum w:abstractNumId="5">
    <w:nsid w:val="329829C9"/>
    <w:multiLevelType w:val="singleLevel"/>
    <w:tmpl w:val="329829C9"/>
    <w:lvl w:ilvl="0" w:tentative="0">
      <w:start w:val="1"/>
      <w:numFmt w:val="decimal"/>
      <w:suff w:val="nothing"/>
      <w:lvlText w:val="%1、"/>
      <w:lvlJc w:val="left"/>
    </w:lvl>
  </w:abstractNum>
  <w:abstractNum w:abstractNumId="6">
    <w:nsid w:val="6B7B19F8"/>
    <w:multiLevelType w:val="singleLevel"/>
    <w:tmpl w:val="6B7B19F8"/>
    <w:lvl w:ilvl="0" w:tentative="0">
      <w:start w:val="1"/>
      <w:numFmt w:val="decimal"/>
      <w:lvlText w:val="（%1）"/>
      <w:lvlJc w:val="left"/>
      <w:pPr>
        <w:tabs>
          <w:tab w:val="left" w:pos="705"/>
        </w:tabs>
        <w:ind w:left="705" w:hanging="705"/>
      </w:pPr>
      <w:rPr>
        <w:rFonts w:hint="eastAsia"/>
      </w:rPr>
    </w:lvl>
  </w:abstractNum>
  <w:abstractNum w:abstractNumId="7">
    <w:nsid w:val="7C493D70"/>
    <w:multiLevelType w:val="singleLevel"/>
    <w:tmpl w:val="7C493D70"/>
    <w:lvl w:ilvl="0" w:tentative="0">
      <w:start w:val="1"/>
      <w:numFmt w:val="decimal"/>
      <w:lvlText w:val="（%1）"/>
      <w:lvlJc w:val="left"/>
      <w:pPr>
        <w:tabs>
          <w:tab w:val="left" w:pos="705"/>
        </w:tabs>
        <w:ind w:left="705" w:hanging="705"/>
      </w:pPr>
      <w:rPr>
        <w:rFonts w:hint="eastAsia"/>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DExNzQ1NGU5ZDc0OWVjMjM2MDY2NThhNmZjN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03B74"/>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C785D"/>
    <w:rsid w:val="047902EA"/>
    <w:rsid w:val="048F763B"/>
    <w:rsid w:val="049F330E"/>
    <w:rsid w:val="04AA775C"/>
    <w:rsid w:val="04AF1889"/>
    <w:rsid w:val="04F66F48"/>
    <w:rsid w:val="04F77256"/>
    <w:rsid w:val="05251E14"/>
    <w:rsid w:val="057B7761"/>
    <w:rsid w:val="05A16594"/>
    <w:rsid w:val="05A7762D"/>
    <w:rsid w:val="060E5941"/>
    <w:rsid w:val="06110FAF"/>
    <w:rsid w:val="06493CA7"/>
    <w:rsid w:val="065A6178"/>
    <w:rsid w:val="066F1CF3"/>
    <w:rsid w:val="06930BB8"/>
    <w:rsid w:val="06E0792B"/>
    <w:rsid w:val="0702176B"/>
    <w:rsid w:val="07245D42"/>
    <w:rsid w:val="07264C62"/>
    <w:rsid w:val="0779354C"/>
    <w:rsid w:val="08061376"/>
    <w:rsid w:val="08253366"/>
    <w:rsid w:val="08452D77"/>
    <w:rsid w:val="086401F8"/>
    <w:rsid w:val="08751CAA"/>
    <w:rsid w:val="087E4C40"/>
    <w:rsid w:val="08A871D0"/>
    <w:rsid w:val="08C571E9"/>
    <w:rsid w:val="08D66AD6"/>
    <w:rsid w:val="08D86946"/>
    <w:rsid w:val="08DA33A3"/>
    <w:rsid w:val="08E80F13"/>
    <w:rsid w:val="09335624"/>
    <w:rsid w:val="0944690F"/>
    <w:rsid w:val="09535675"/>
    <w:rsid w:val="095E7BDD"/>
    <w:rsid w:val="095F057D"/>
    <w:rsid w:val="09642282"/>
    <w:rsid w:val="09733572"/>
    <w:rsid w:val="09772C16"/>
    <w:rsid w:val="098353B5"/>
    <w:rsid w:val="09A92330"/>
    <w:rsid w:val="09B06B87"/>
    <w:rsid w:val="09C13146"/>
    <w:rsid w:val="09E04166"/>
    <w:rsid w:val="0A0D638C"/>
    <w:rsid w:val="0A1C0718"/>
    <w:rsid w:val="0A3E7710"/>
    <w:rsid w:val="0A5B7E63"/>
    <w:rsid w:val="0AA374A5"/>
    <w:rsid w:val="0AAB7649"/>
    <w:rsid w:val="0ABC5606"/>
    <w:rsid w:val="0B30404E"/>
    <w:rsid w:val="0B3B32E1"/>
    <w:rsid w:val="0B4B60CB"/>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14386"/>
    <w:rsid w:val="0CC617AC"/>
    <w:rsid w:val="0CE618DF"/>
    <w:rsid w:val="0CFE707A"/>
    <w:rsid w:val="0D063BDA"/>
    <w:rsid w:val="0D08375F"/>
    <w:rsid w:val="0D184CFB"/>
    <w:rsid w:val="0D2D2D0E"/>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3A24D7"/>
    <w:rsid w:val="0F4958DC"/>
    <w:rsid w:val="0F515DF7"/>
    <w:rsid w:val="0F596BA8"/>
    <w:rsid w:val="0F6248D2"/>
    <w:rsid w:val="0F693536"/>
    <w:rsid w:val="0F7B0511"/>
    <w:rsid w:val="0F7B76D9"/>
    <w:rsid w:val="0F816ACD"/>
    <w:rsid w:val="0F840B40"/>
    <w:rsid w:val="0F9832DB"/>
    <w:rsid w:val="0FBF3FD2"/>
    <w:rsid w:val="0FBF7FF3"/>
    <w:rsid w:val="0FE93454"/>
    <w:rsid w:val="10044A9B"/>
    <w:rsid w:val="10646583"/>
    <w:rsid w:val="107D4B15"/>
    <w:rsid w:val="108A3C80"/>
    <w:rsid w:val="10953945"/>
    <w:rsid w:val="10A40E35"/>
    <w:rsid w:val="10C26171"/>
    <w:rsid w:val="10F33360"/>
    <w:rsid w:val="10FC16EA"/>
    <w:rsid w:val="110F1D40"/>
    <w:rsid w:val="11266F33"/>
    <w:rsid w:val="11301FEB"/>
    <w:rsid w:val="114C2338"/>
    <w:rsid w:val="118963A1"/>
    <w:rsid w:val="11C6522A"/>
    <w:rsid w:val="11E104CC"/>
    <w:rsid w:val="11E20309"/>
    <w:rsid w:val="12255233"/>
    <w:rsid w:val="12457393"/>
    <w:rsid w:val="12530213"/>
    <w:rsid w:val="127723A9"/>
    <w:rsid w:val="12862074"/>
    <w:rsid w:val="12883966"/>
    <w:rsid w:val="129220FD"/>
    <w:rsid w:val="12986875"/>
    <w:rsid w:val="129E45B4"/>
    <w:rsid w:val="12D1773B"/>
    <w:rsid w:val="12D81596"/>
    <w:rsid w:val="13021765"/>
    <w:rsid w:val="13072A44"/>
    <w:rsid w:val="135B2C24"/>
    <w:rsid w:val="135F4BE2"/>
    <w:rsid w:val="138F0B1F"/>
    <w:rsid w:val="139A5ADB"/>
    <w:rsid w:val="139B1A0A"/>
    <w:rsid w:val="139D25C7"/>
    <w:rsid w:val="13BF3CE4"/>
    <w:rsid w:val="140402D7"/>
    <w:rsid w:val="141008D8"/>
    <w:rsid w:val="14125FE6"/>
    <w:rsid w:val="146D271E"/>
    <w:rsid w:val="14982588"/>
    <w:rsid w:val="149A5AD9"/>
    <w:rsid w:val="14A7619D"/>
    <w:rsid w:val="150536C3"/>
    <w:rsid w:val="150C1963"/>
    <w:rsid w:val="151447A0"/>
    <w:rsid w:val="154A6454"/>
    <w:rsid w:val="15762120"/>
    <w:rsid w:val="15E47DE8"/>
    <w:rsid w:val="15EA70AD"/>
    <w:rsid w:val="16064831"/>
    <w:rsid w:val="16A8729C"/>
    <w:rsid w:val="16B33777"/>
    <w:rsid w:val="16BC70A7"/>
    <w:rsid w:val="16C6339E"/>
    <w:rsid w:val="172F2D79"/>
    <w:rsid w:val="17371DE5"/>
    <w:rsid w:val="174636D5"/>
    <w:rsid w:val="17557BEF"/>
    <w:rsid w:val="17D349C1"/>
    <w:rsid w:val="18244F26"/>
    <w:rsid w:val="1830729E"/>
    <w:rsid w:val="1870062C"/>
    <w:rsid w:val="18817102"/>
    <w:rsid w:val="18830A15"/>
    <w:rsid w:val="18852B28"/>
    <w:rsid w:val="188B5321"/>
    <w:rsid w:val="18D84DA8"/>
    <w:rsid w:val="19565056"/>
    <w:rsid w:val="197B7B7C"/>
    <w:rsid w:val="19932372"/>
    <w:rsid w:val="19A20DD5"/>
    <w:rsid w:val="19AE03F1"/>
    <w:rsid w:val="19AF0C44"/>
    <w:rsid w:val="1A071A03"/>
    <w:rsid w:val="1A156A7B"/>
    <w:rsid w:val="1A1F16AE"/>
    <w:rsid w:val="1A2136B6"/>
    <w:rsid w:val="1A3B5C77"/>
    <w:rsid w:val="1A626AD9"/>
    <w:rsid w:val="1A7E355A"/>
    <w:rsid w:val="1A984BAD"/>
    <w:rsid w:val="1AB8220E"/>
    <w:rsid w:val="1AE4166C"/>
    <w:rsid w:val="1AF06CFB"/>
    <w:rsid w:val="1AF11B8D"/>
    <w:rsid w:val="1B11359C"/>
    <w:rsid w:val="1B2A271F"/>
    <w:rsid w:val="1B3C333B"/>
    <w:rsid w:val="1B494B83"/>
    <w:rsid w:val="1B4C7393"/>
    <w:rsid w:val="1B530544"/>
    <w:rsid w:val="1B6865DB"/>
    <w:rsid w:val="1B713184"/>
    <w:rsid w:val="1BA209CF"/>
    <w:rsid w:val="1BB4777D"/>
    <w:rsid w:val="1BD75AB8"/>
    <w:rsid w:val="1C0459C2"/>
    <w:rsid w:val="1C1425F4"/>
    <w:rsid w:val="1C1B3B4A"/>
    <w:rsid w:val="1C88086E"/>
    <w:rsid w:val="1CDC0016"/>
    <w:rsid w:val="1CE73468"/>
    <w:rsid w:val="1D266CE1"/>
    <w:rsid w:val="1D3963AF"/>
    <w:rsid w:val="1D6A673C"/>
    <w:rsid w:val="1D6F54DB"/>
    <w:rsid w:val="1D9247AE"/>
    <w:rsid w:val="1DA50519"/>
    <w:rsid w:val="1DAB7439"/>
    <w:rsid w:val="1DB567EC"/>
    <w:rsid w:val="1DDF7CE7"/>
    <w:rsid w:val="1DF51A98"/>
    <w:rsid w:val="1E051CD9"/>
    <w:rsid w:val="1E3D060F"/>
    <w:rsid w:val="1E3F7D2E"/>
    <w:rsid w:val="1E4134E4"/>
    <w:rsid w:val="1E5062B3"/>
    <w:rsid w:val="1E523514"/>
    <w:rsid w:val="1E714A66"/>
    <w:rsid w:val="1E802593"/>
    <w:rsid w:val="1E8B6156"/>
    <w:rsid w:val="1EA703CC"/>
    <w:rsid w:val="1EB7330C"/>
    <w:rsid w:val="1EC65C53"/>
    <w:rsid w:val="1EFE19D9"/>
    <w:rsid w:val="1F0A0FF3"/>
    <w:rsid w:val="1F5771FF"/>
    <w:rsid w:val="1FD52574"/>
    <w:rsid w:val="1FE868A9"/>
    <w:rsid w:val="20034907"/>
    <w:rsid w:val="20173E4B"/>
    <w:rsid w:val="204E48BC"/>
    <w:rsid w:val="208921B3"/>
    <w:rsid w:val="20973DEB"/>
    <w:rsid w:val="20B26522"/>
    <w:rsid w:val="20B44310"/>
    <w:rsid w:val="211116EB"/>
    <w:rsid w:val="216133FC"/>
    <w:rsid w:val="21D20B1C"/>
    <w:rsid w:val="21D56769"/>
    <w:rsid w:val="21E52EF3"/>
    <w:rsid w:val="21FB5D7B"/>
    <w:rsid w:val="22015E94"/>
    <w:rsid w:val="220B1C3D"/>
    <w:rsid w:val="221D1D20"/>
    <w:rsid w:val="22334A87"/>
    <w:rsid w:val="224156DA"/>
    <w:rsid w:val="226E2973"/>
    <w:rsid w:val="227C56E4"/>
    <w:rsid w:val="22BE6801"/>
    <w:rsid w:val="233500BF"/>
    <w:rsid w:val="23377FF7"/>
    <w:rsid w:val="236B425F"/>
    <w:rsid w:val="23836192"/>
    <w:rsid w:val="23901F29"/>
    <w:rsid w:val="239C0061"/>
    <w:rsid w:val="23AC72D4"/>
    <w:rsid w:val="23B908A4"/>
    <w:rsid w:val="23E95BEF"/>
    <w:rsid w:val="23EB4C4B"/>
    <w:rsid w:val="23FD0064"/>
    <w:rsid w:val="24434087"/>
    <w:rsid w:val="245375B0"/>
    <w:rsid w:val="245A4A6F"/>
    <w:rsid w:val="24642C0A"/>
    <w:rsid w:val="24B22173"/>
    <w:rsid w:val="24B95AD9"/>
    <w:rsid w:val="24BE24DA"/>
    <w:rsid w:val="24CF5825"/>
    <w:rsid w:val="24D663E6"/>
    <w:rsid w:val="24D77F2B"/>
    <w:rsid w:val="250749B9"/>
    <w:rsid w:val="258B00E2"/>
    <w:rsid w:val="25A917A6"/>
    <w:rsid w:val="25B10B02"/>
    <w:rsid w:val="25BE27CC"/>
    <w:rsid w:val="25CA57D2"/>
    <w:rsid w:val="25E92311"/>
    <w:rsid w:val="25F2465F"/>
    <w:rsid w:val="25F74A5C"/>
    <w:rsid w:val="25F948BA"/>
    <w:rsid w:val="2628662C"/>
    <w:rsid w:val="262D45DE"/>
    <w:rsid w:val="267C2AE1"/>
    <w:rsid w:val="26871DC8"/>
    <w:rsid w:val="268C786C"/>
    <w:rsid w:val="26A53EF9"/>
    <w:rsid w:val="26A94201"/>
    <w:rsid w:val="26AC274F"/>
    <w:rsid w:val="27021D65"/>
    <w:rsid w:val="27032D56"/>
    <w:rsid w:val="27044A29"/>
    <w:rsid w:val="271D34C8"/>
    <w:rsid w:val="2759240E"/>
    <w:rsid w:val="276142BF"/>
    <w:rsid w:val="276F4A98"/>
    <w:rsid w:val="27783712"/>
    <w:rsid w:val="27907362"/>
    <w:rsid w:val="27A9467E"/>
    <w:rsid w:val="28325AF1"/>
    <w:rsid w:val="28333E1D"/>
    <w:rsid w:val="2845437F"/>
    <w:rsid w:val="28454BD6"/>
    <w:rsid w:val="28455253"/>
    <w:rsid w:val="28551971"/>
    <w:rsid w:val="285B1C53"/>
    <w:rsid w:val="285C501C"/>
    <w:rsid w:val="289F7086"/>
    <w:rsid w:val="28C32028"/>
    <w:rsid w:val="28CC490F"/>
    <w:rsid w:val="28DE40AA"/>
    <w:rsid w:val="29062FF7"/>
    <w:rsid w:val="29345E77"/>
    <w:rsid w:val="294C65AD"/>
    <w:rsid w:val="29806583"/>
    <w:rsid w:val="298B3C4C"/>
    <w:rsid w:val="29F26D24"/>
    <w:rsid w:val="2A15033F"/>
    <w:rsid w:val="2A1662C1"/>
    <w:rsid w:val="2A1C7367"/>
    <w:rsid w:val="2A2815FA"/>
    <w:rsid w:val="2A6D6092"/>
    <w:rsid w:val="2A7D76B4"/>
    <w:rsid w:val="2AA437DD"/>
    <w:rsid w:val="2AC670C5"/>
    <w:rsid w:val="2B052A32"/>
    <w:rsid w:val="2B410523"/>
    <w:rsid w:val="2B437463"/>
    <w:rsid w:val="2B7807EE"/>
    <w:rsid w:val="2BA50BF7"/>
    <w:rsid w:val="2BBF00EC"/>
    <w:rsid w:val="2BC14B51"/>
    <w:rsid w:val="2BC37CFD"/>
    <w:rsid w:val="2BD5237F"/>
    <w:rsid w:val="2BE536CE"/>
    <w:rsid w:val="2BE758D9"/>
    <w:rsid w:val="2BF346BB"/>
    <w:rsid w:val="2C09049E"/>
    <w:rsid w:val="2C0A653C"/>
    <w:rsid w:val="2C191F85"/>
    <w:rsid w:val="2C7548FE"/>
    <w:rsid w:val="2CE82D6F"/>
    <w:rsid w:val="2D343236"/>
    <w:rsid w:val="2D3C02EB"/>
    <w:rsid w:val="2D575011"/>
    <w:rsid w:val="2DB84065"/>
    <w:rsid w:val="2DD15014"/>
    <w:rsid w:val="2DF72DE4"/>
    <w:rsid w:val="2E0220AF"/>
    <w:rsid w:val="2E494CD9"/>
    <w:rsid w:val="2E4B082A"/>
    <w:rsid w:val="2E5D4E86"/>
    <w:rsid w:val="2E5D790B"/>
    <w:rsid w:val="2E9A3C18"/>
    <w:rsid w:val="2EBB0FEE"/>
    <w:rsid w:val="2EC63002"/>
    <w:rsid w:val="2ECA37FB"/>
    <w:rsid w:val="2F0A6B38"/>
    <w:rsid w:val="2F146650"/>
    <w:rsid w:val="2F495AD7"/>
    <w:rsid w:val="2F946CCB"/>
    <w:rsid w:val="2FD25781"/>
    <w:rsid w:val="2FDC745C"/>
    <w:rsid w:val="2FFD7934"/>
    <w:rsid w:val="30733ACD"/>
    <w:rsid w:val="308C3862"/>
    <w:rsid w:val="309379D8"/>
    <w:rsid w:val="30A270F7"/>
    <w:rsid w:val="30DF1478"/>
    <w:rsid w:val="30EC586F"/>
    <w:rsid w:val="3184130A"/>
    <w:rsid w:val="319C6071"/>
    <w:rsid w:val="31AC537E"/>
    <w:rsid w:val="31E3679B"/>
    <w:rsid w:val="31E732FD"/>
    <w:rsid w:val="320E0106"/>
    <w:rsid w:val="324D516E"/>
    <w:rsid w:val="32517576"/>
    <w:rsid w:val="32BE5C2C"/>
    <w:rsid w:val="32DA7E47"/>
    <w:rsid w:val="32FB6478"/>
    <w:rsid w:val="33263B3F"/>
    <w:rsid w:val="336963EB"/>
    <w:rsid w:val="336B6ED1"/>
    <w:rsid w:val="33816EEB"/>
    <w:rsid w:val="339F4C7D"/>
    <w:rsid w:val="33EB55CD"/>
    <w:rsid w:val="33EC4C02"/>
    <w:rsid w:val="340D2360"/>
    <w:rsid w:val="3410665D"/>
    <w:rsid w:val="34211214"/>
    <w:rsid w:val="342E63AB"/>
    <w:rsid w:val="34784F8C"/>
    <w:rsid w:val="34950E68"/>
    <w:rsid w:val="34986E94"/>
    <w:rsid w:val="34AF62C9"/>
    <w:rsid w:val="34CB4388"/>
    <w:rsid w:val="34D6485D"/>
    <w:rsid w:val="34FA6E12"/>
    <w:rsid w:val="351209F1"/>
    <w:rsid w:val="352B085D"/>
    <w:rsid w:val="354D7158"/>
    <w:rsid w:val="358D5588"/>
    <w:rsid w:val="35B2271F"/>
    <w:rsid w:val="35CF507F"/>
    <w:rsid w:val="363A3B40"/>
    <w:rsid w:val="365302AE"/>
    <w:rsid w:val="36607A0A"/>
    <w:rsid w:val="366E227C"/>
    <w:rsid w:val="366F2E0D"/>
    <w:rsid w:val="36746F6F"/>
    <w:rsid w:val="367B6A5C"/>
    <w:rsid w:val="36A74ADA"/>
    <w:rsid w:val="36AD60D5"/>
    <w:rsid w:val="36B224F9"/>
    <w:rsid w:val="36DC45F1"/>
    <w:rsid w:val="36EC0CC9"/>
    <w:rsid w:val="373122E8"/>
    <w:rsid w:val="37380DC9"/>
    <w:rsid w:val="373F410B"/>
    <w:rsid w:val="374C03F0"/>
    <w:rsid w:val="376B527C"/>
    <w:rsid w:val="37EE7094"/>
    <w:rsid w:val="38296C89"/>
    <w:rsid w:val="383002EB"/>
    <w:rsid w:val="38586797"/>
    <w:rsid w:val="385D15DF"/>
    <w:rsid w:val="38BC0149"/>
    <w:rsid w:val="38D87D1C"/>
    <w:rsid w:val="3921458E"/>
    <w:rsid w:val="39636459"/>
    <w:rsid w:val="396B7F6C"/>
    <w:rsid w:val="398C10E2"/>
    <w:rsid w:val="39946F33"/>
    <w:rsid w:val="39B417A9"/>
    <w:rsid w:val="39FC5695"/>
    <w:rsid w:val="3A006D8E"/>
    <w:rsid w:val="3A3651E5"/>
    <w:rsid w:val="3A744481"/>
    <w:rsid w:val="3A8C7BEF"/>
    <w:rsid w:val="3A906246"/>
    <w:rsid w:val="3AF161F5"/>
    <w:rsid w:val="3AF81008"/>
    <w:rsid w:val="3B2349B7"/>
    <w:rsid w:val="3B616CFF"/>
    <w:rsid w:val="3B6259F6"/>
    <w:rsid w:val="3B976654"/>
    <w:rsid w:val="3BC01EFC"/>
    <w:rsid w:val="3BCA786A"/>
    <w:rsid w:val="3BCB3FF7"/>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E0BAE"/>
    <w:rsid w:val="3DE041CB"/>
    <w:rsid w:val="3E0D48F6"/>
    <w:rsid w:val="3E1868B4"/>
    <w:rsid w:val="3E377251"/>
    <w:rsid w:val="3E42664B"/>
    <w:rsid w:val="3E5A7334"/>
    <w:rsid w:val="3E730EFE"/>
    <w:rsid w:val="3E7B5D6B"/>
    <w:rsid w:val="3E843E66"/>
    <w:rsid w:val="3E8F51FE"/>
    <w:rsid w:val="3E926F87"/>
    <w:rsid w:val="3E9A59DE"/>
    <w:rsid w:val="3EAF4836"/>
    <w:rsid w:val="3EB90436"/>
    <w:rsid w:val="3EC33DFA"/>
    <w:rsid w:val="3F060E16"/>
    <w:rsid w:val="3F1D1096"/>
    <w:rsid w:val="3F2F0234"/>
    <w:rsid w:val="3F3F65AD"/>
    <w:rsid w:val="3F6363FE"/>
    <w:rsid w:val="3F756B8F"/>
    <w:rsid w:val="3F95482B"/>
    <w:rsid w:val="4019356B"/>
    <w:rsid w:val="40592157"/>
    <w:rsid w:val="405D2655"/>
    <w:rsid w:val="406E1CAE"/>
    <w:rsid w:val="40A0133A"/>
    <w:rsid w:val="40A06146"/>
    <w:rsid w:val="40AC70B9"/>
    <w:rsid w:val="40C31A53"/>
    <w:rsid w:val="40FF545D"/>
    <w:rsid w:val="410067C8"/>
    <w:rsid w:val="410F49D4"/>
    <w:rsid w:val="417967E7"/>
    <w:rsid w:val="418F0D2A"/>
    <w:rsid w:val="41C55588"/>
    <w:rsid w:val="41D01505"/>
    <w:rsid w:val="42474939"/>
    <w:rsid w:val="424C3C57"/>
    <w:rsid w:val="42613FF3"/>
    <w:rsid w:val="42660D96"/>
    <w:rsid w:val="428667D2"/>
    <w:rsid w:val="42CD1CE0"/>
    <w:rsid w:val="42E1381E"/>
    <w:rsid w:val="42ED6459"/>
    <w:rsid w:val="42FE58DD"/>
    <w:rsid w:val="43174B3D"/>
    <w:rsid w:val="4348021F"/>
    <w:rsid w:val="434B790E"/>
    <w:rsid w:val="4360274F"/>
    <w:rsid w:val="43977AB6"/>
    <w:rsid w:val="43A3342B"/>
    <w:rsid w:val="43C77C27"/>
    <w:rsid w:val="43DE09EE"/>
    <w:rsid w:val="44002FAD"/>
    <w:rsid w:val="441507A1"/>
    <w:rsid w:val="449101DD"/>
    <w:rsid w:val="44DE1391"/>
    <w:rsid w:val="44F01EAF"/>
    <w:rsid w:val="45184A87"/>
    <w:rsid w:val="451B225C"/>
    <w:rsid w:val="452410C9"/>
    <w:rsid w:val="45317DFB"/>
    <w:rsid w:val="45405D7F"/>
    <w:rsid w:val="45637592"/>
    <w:rsid w:val="456D3CE4"/>
    <w:rsid w:val="456E6B63"/>
    <w:rsid w:val="4579042C"/>
    <w:rsid w:val="457F0571"/>
    <w:rsid w:val="45851176"/>
    <w:rsid w:val="45C63B94"/>
    <w:rsid w:val="460E7DA5"/>
    <w:rsid w:val="46422483"/>
    <w:rsid w:val="4659254A"/>
    <w:rsid w:val="465B0637"/>
    <w:rsid w:val="465E3F0D"/>
    <w:rsid w:val="466A16E6"/>
    <w:rsid w:val="46893F2B"/>
    <w:rsid w:val="46C4686E"/>
    <w:rsid w:val="46D37817"/>
    <w:rsid w:val="46D86BA4"/>
    <w:rsid w:val="477B778F"/>
    <w:rsid w:val="478203EC"/>
    <w:rsid w:val="47B025FA"/>
    <w:rsid w:val="47D20B55"/>
    <w:rsid w:val="47EF15B1"/>
    <w:rsid w:val="4809698F"/>
    <w:rsid w:val="4811697D"/>
    <w:rsid w:val="487A3E25"/>
    <w:rsid w:val="48825CB0"/>
    <w:rsid w:val="488B5503"/>
    <w:rsid w:val="48937E21"/>
    <w:rsid w:val="489A0361"/>
    <w:rsid w:val="48B94FF3"/>
    <w:rsid w:val="48CC18F2"/>
    <w:rsid w:val="48E37AAB"/>
    <w:rsid w:val="48FD4B4C"/>
    <w:rsid w:val="490A68E0"/>
    <w:rsid w:val="491055FE"/>
    <w:rsid w:val="49437E06"/>
    <w:rsid w:val="495F5B3E"/>
    <w:rsid w:val="496F77D7"/>
    <w:rsid w:val="497654FD"/>
    <w:rsid w:val="49B64211"/>
    <w:rsid w:val="49F6167F"/>
    <w:rsid w:val="4A064FA0"/>
    <w:rsid w:val="4A16615C"/>
    <w:rsid w:val="4A3C0AC7"/>
    <w:rsid w:val="4A4424D7"/>
    <w:rsid w:val="4AB82D0F"/>
    <w:rsid w:val="4AD60806"/>
    <w:rsid w:val="4AEA1B36"/>
    <w:rsid w:val="4AEB7664"/>
    <w:rsid w:val="4AFD3FE5"/>
    <w:rsid w:val="4AFD7C19"/>
    <w:rsid w:val="4B0567D1"/>
    <w:rsid w:val="4B236AAE"/>
    <w:rsid w:val="4B4003C5"/>
    <w:rsid w:val="4B707271"/>
    <w:rsid w:val="4B810772"/>
    <w:rsid w:val="4B87527B"/>
    <w:rsid w:val="4B9739F7"/>
    <w:rsid w:val="4BD121C5"/>
    <w:rsid w:val="4BEE2503"/>
    <w:rsid w:val="4C245A30"/>
    <w:rsid w:val="4C871DB8"/>
    <w:rsid w:val="4CAE158F"/>
    <w:rsid w:val="4CB6685F"/>
    <w:rsid w:val="4CC367FE"/>
    <w:rsid w:val="4CE84F2B"/>
    <w:rsid w:val="4D077F3C"/>
    <w:rsid w:val="4D123355"/>
    <w:rsid w:val="4D2A3B31"/>
    <w:rsid w:val="4D312C52"/>
    <w:rsid w:val="4D4128AF"/>
    <w:rsid w:val="4D905305"/>
    <w:rsid w:val="4D964A72"/>
    <w:rsid w:val="4D97538E"/>
    <w:rsid w:val="4D9C1254"/>
    <w:rsid w:val="4E30647F"/>
    <w:rsid w:val="4E793892"/>
    <w:rsid w:val="4E800872"/>
    <w:rsid w:val="4EAC3D58"/>
    <w:rsid w:val="4EC569ED"/>
    <w:rsid w:val="4ED50EA1"/>
    <w:rsid w:val="4EEC050C"/>
    <w:rsid w:val="4F104EC3"/>
    <w:rsid w:val="4F337FD5"/>
    <w:rsid w:val="4F47354A"/>
    <w:rsid w:val="4F911C54"/>
    <w:rsid w:val="4F9A1DAF"/>
    <w:rsid w:val="4FE625E0"/>
    <w:rsid w:val="50211B71"/>
    <w:rsid w:val="5021480F"/>
    <w:rsid w:val="50962ECB"/>
    <w:rsid w:val="50A42E38"/>
    <w:rsid w:val="50A4577F"/>
    <w:rsid w:val="50B73D1F"/>
    <w:rsid w:val="50BD5BC9"/>
    <w:rsid w:val="50C11EEE"/>
    <w:rsid w:val="50E97CFC"/>
    <w:rsid w:val="50FA4028"/>
    <w:rsid w:val="510D65B7"/>
    <w:rsid w:val="511157AB"/>
    <w:rsid w:val="51283F24"/>
    <w:rsid w:val="5142540C"/>
    <w:rsid w:val="5162713C"/>
    <w:rsid w:val="518832C8"/>
    <w:rsid w:val="519D3C50"/>
    <w:rsid w:val="51A0432A"/>
    <w:rsid w:val="51A0472B"/>
    <w:rsid w:val="51A11B6E"/>
    <w:rsid w:val="51A86090"/>
    <w:rsid w:val="51B7396D"/>
    <w:rsid w:val="51F31FFB"/>
    <w:rsid w:val="522E4CC3"/>
    <w:rsid w:val="5244713B"/>
    <w:rsid w:val="526130AB"/>
    <w:rsid w:val="52615633"/>
    <w:rsid w:val="526F4DE4"/>
    <w:rsid w:val="52862CBC"/>
    <w:rsid w:val="52977FD4"/>
    <w:rsid w:val="52A25790"/>
    <w:rsid w:val="52A96B6F"/>
    <w:rsid w:val="52B45975"/>
    <w:rsid w:val="52D94AA4"/>
    <w:rsid w:val="52EA3A62"/>
    <w:rsid w:val="52F50BB8"/>
    <w:rsid w:val="53097272"/>
    <w:rsid w:val="534F55FA"/>
    <w:rsid w:val="53544462"/>
    <w:rsid w:val="5397158E"/>
    <w:rsid w:val="53984811"/>
    <w:rsid w:val="53CF08F5"/>
    <w:rsid w:val="53F22EE5"/>
    <w:rsid w:val="54013861"/>
    <w:rsid w:val="54487265"/>
    <w:rsid w:val="544D6070"/>
    <w:rsid w:val="54605E1E"/>
    <w:rsid w:val="548D462B"/>
    <w:rsid w:val="54B3506A"/>
    <w:rsid w:val="54B92B9F"/>
    <w:rsid w:val="54CA0D16"/>
    <w:rsid w:val="54DD4057"/>
    <w:rsid w:val="54E7490F"/>
    <w:rsid w:val="550764A4"/>
    <w:rsid w:val="550B2BF6"/>
    <w:rsid w:val="55214EB5"/>
    <w:rsid w:val="55364EFD"/>
    <w:rsid w:val="555D4828"/>
    <w:rsid w:val="55757C92"/>
    <w:rsid w:val="557A4C8B"/>
    <w:rsid w:val="558931E1"/>
    <w:rsid w:val="55923347"/>
    <w:rsid w:val="55925180"/>
    <w:rsid w:val="55983B1B"/>
    <w:rsid w:val="55A8376B"/>
    <w:rsid w:val="55DC29B6"/>
    <w:rsid w:val="55DD4241"/>
    <w:rsid w:val="55F01A8B"/>
    <w:rsid w:val="566B6D1E"/>
    <w:rsid w:val="56835CE6"/>
    <w:rsid w:val="568D58BE"/>
    <w:rsid w:val="568F660A"/>
    <w:rsid w:val="57032A2C"/>
    <w:rsid w:val="570F5219"/>
    <w:rsid w:val="574A05B2"/>
    <w:rsid w:val="575D12B5"/>
    <w:rsid w:val="57610A87"/>
    <w:rsid w:val="577B1140"/>
    <w:rsid w:val="577B7F21"/>
    <w:rsid w:val="577F181B"/>
    <w:rsid w:val="57921984"/>
    <w:rsid w:val="579737F0"/>
    <w:rsid w:val="57AB7B30"/>
    <w:rsid w:val="57AF5251"/>
    <w:rsid w:val="57B26373"/>
    <w:rsid w:val="57B63F04"/>
    <w:rsid w:val="57BD0D84"/>
    <w:rsid w:val="57C71C02"/>
    <w:rsid w:val="57CD20C2"/>
    <w:rsid w:val="57D675AB"/>
    <w:rsid w:val="57D73717"/>
    <w:rsid w:val="57D95FDD"/>
    <w:rsid w:val="58917D2F"/>
    <w:rsid w:val="5894085C"/>
    <w:rsid w:val="58AE4F0C"/>
    <w:rsid w:val="58B85899"/>
    <w:rsid w:val="58E363A9"/>
    <w:rsid w:val="59166304"/>
    <w:rsid w:val="595E1678"/>
    <w:rsid w:val="596D5BD4"/>
    <w:rsid w:val="597E3DD8"/>
    <w:rsid w:val="59975042"/>
    <w:rsid w:val="59F80043"/>
    <w:rsid w:val="5A09252F"/>
    <w:rsid w:val="5A0B2778"/>
    <w:rsid w:val="5A2A7C7B"/>
    <w:rsid w:val="5A33357F"/>
    <w:rsid w:val="5A3E2560"/>
    <w:rsid w:val="5A5D3B6E"/>
    <w:rsid w:val="5A637A76"/>
    <w:rsid w:val="5A6D33BA"/>
    <w:rsid w:val="5A712B48"/>
    <w:rsid w:val="5A792B1F"/>
    <w:rsid w:val="5A874767"/>
    <w:rsid w:val="5AA85BE2"/>
    <w:rsid w:val="5AAD6F28"/>
    <w:rsid w:val="5AD63A24"/>
    <w:rsid w:val="5B2E1A1D"/>
    <w:rsid w:val="5B4459CD"/>
    <w:rsid w:val="5B843A1C"/>
    <w:rsid w:val="5B873E3F"/>
    <w:rsid w:val="5BD92F82"/>
    <w:rsid w:val="5C02690E"/>
    <w:rsid w:val="5C196DA7"/>
    <w:rsid w:val="5C2A048C"/>
    <w:rsid w:val="5C657D92"/>
    <w:rsid w:val="5C7560D1"/>
    <w:rsid w:val="5C80234E"/>
    <w:rsid w:val="5C8A680C"/>
    <w:rsid w:val="5D0C4701"/>
    <w:rsid w:val="5D0F0395"/>
    <w:rsid w:val="5D221076"/>
    <w:rsid w:val="5D397964"/>
    <w:rsid w:val="5D5A391C"/>
    <w:rsid w:val="5D5F10C0"/>
    <w:rsid w:val="5D6F2B20"/>
    <w:rsid w:val="5D891B7B"/>
    <w:rsid w:val="5DAD38EE"/>
    <w:rsid w:val="5DE75433"/>
    <w:rsid w:val="5E006862"/>
    <w:rsid w:val="5E0207B9"/>
    <w:rsid w:val="5E1834A1"/>
    <w:rsid w:val="5E23390B"/>
    <w:rsid w:val="5E261785"/>
    <w:rsid w:val="5E3D49CC"/>
    <w:rsid w:val="5E4A7017"/>
    <w:rsid w:val="5E4F5691"/>
    <w:rsid w:val="5E552BBA"/>
    <w:rsid w:val="5E611C10"/>
    <w:rsid w:val="5E7A0F3F"/>
    <w:rsid w:val="5EFC7377"/>
    <w:rsid w:val="5F06174D"/>
    <w:rsid w:val="5F0A577B"/>
    <w:rsid w:val="5F1F7A66"/>
    <w:rsid w:val="5F3A3602"/>
    <w:rsid w:val="5F3A53B0"/>
    <w:rsid w:val="5F45733B"/>
    <w:rsid w:val="5F6277C6"/>
    <w:rsid w:val="5F6D0B1D"/>
    <w:rsid w:val="5F8D0B82"/>
    <w:rsid w:val="5FCC5339"/>
    <w:rsid w:val="5FE34A5B"/>
    <w:rsid w:val="5FFE1E36"/>
    <w:rsid w:val="60232584"/>
    <w:rsid w:val="607330CE"/>
    <w:rsid w:val="60825176"/>
    <w:rsid w:val="609F2AC4"/>
    <w:rsid w:val="60F6604E"/>
    <w:rsid w:val="60FA2EE8"/>
    <w:rsid w:val="61054A27"/>
    <w:rsid w:val="610A52BC"/>
    <w:rsid w:val="611D2366"/>
    <w:rsid w:val="61421856"/>
    <w:rsid w:val="61474CB9"/>
    <w:rsid w:val="615227C4"/>
    <w:rsid w:val="61654E3F"/>
    <w:rsid w:val="6182292A"/>
    <w:rsid w:val="619F7F92"/>
    <w:rsid w:val="61F335F4"/>
    <w:rsid w:val="61F94C26"/>
    <w:rsid w:val="62000E56"/>
    <w:rsid w:val="623923D4"/>
    <w:rsid w:val="624F3E49"/>
    <w:rsid w:val="62632286"/>
    <w:rsid w:val="62784BFA"/>
    <w:rsid w:val="62885958"/>
    <w:rsid w:val="62F40B65"/>
    <w:rsid w:val="62FC2CFE"/>
    <w:rsid w:val="63024505"/>
    <w:rsid w:val="6320666B"/>
    <w:rsid w:val="632B573B"/>
    <w:rsid w:val="634E142A"/>
    <w:rsid w:val="635600A5"/>
    <w:rsid w:val="635B1DB5"/>
    <w:rsid w:val="63711FED"/>
    <w:rsid w:val="63880DDC"/>
    <w:rsid w:val="638D750D"/>
    <w:rsid w:val="63AC6CC0"/>
    <w:rsid w:val="64055776"/>
    <w:rsid w:val="64240056"/>
    <w:rsid w:val="643E143A"/>
    <w:rsid w:val="64491666"/>
    <w:rsid w:val="648B6EEF"/>
    <w:rsid w:val="64C158BF"/>
    <w:rsid w:val="64CE2EAA"/>
    <w:rsid w:val="65130235"/>
    <w:rsid w:val="653C3090"/>
    <w:rsid w:val="65854376"/>
    <w:rsid w:val="658767BE"/>
    <w:rsid w:val="65892531"/>
    <w:rsid w:val="66195831"/>
    <w:rsid w:val="662E75B1"/>
    <w:rsid w:val="66342C2E"/>
    <w:rsid w:val="663E784C"/>
    <w:rsid w:val="667165ED"/>
    <w:rsid w:val="668B6A45"/>
    <w:rsid w:val="672C7F92"/>
    <w:rsid w:val="672F3F24"/>
    <w:rsid w:val="673E055F"/>
    <w:rsid w:val="67551CE3"/>
    <w:rsid w:val="67A22552"/>
    <w:rsid w:val="67B22DCC"/>
    <w:rsid w:val="67BE71AA"/>
    <w:rsid w:val="67D90273"/>
    <w:rsid w:val="67DE5875"/>
    <w:rsid w:val="67E55852"/>
    <w:rsid w:val="67EB1AB4"/>
    <w:rsid w:val="67FA1285"/>
    <w:rsid w:val="682D666D"/>
    <w:rsid w:val="68551F4F"/>
    <w:rsid w:val="687C10C9"/>
    <w:rsid w:val="68840C16"/>
    <w:rsid w:val="68876EFB"/>
    <w:rsid w:val="68884654"/>
    <w:rsid w:val="689F444F"/>
    <w:rsid w:val="68A660BF"/>
    <w:rsid w:val="68B96DBB"/>
    <w:rsid w:val="68CA2805"/>
    <w:rsid w:val="68DC1286"/>
    <w:rsid w:val="68E937A3"/>
    <w:rsid w:val="693E15D3"/>
    <w:rsid w:val="693E3CEF"/>
    <w:rsid w:val="69627681"/>
    <w:rsid w:val="6977531D"/>
    <w:rsid w:val="69942868"/>
    <w:rsid w:val="69B12712"/>
    <w:rsid w:val="69CC2BFF"/>
    <w:rsid w:val="69E70743"/>
    <w:rsid w:val="69FD55B8"/>
    <w:rsid w:val="6A0B1C62"/>
    <w:rsid w:val="6A2406C8"/>
    <w:rsid w:val="6A3A0C2B"/>
    <w:rsid w:val="6AB4659D"/>
    <w:rsid w:val="6ADE0BD1"/>
    <w:rsid w:val="6AE96859"/>
    <w:rsid w:val="6B147746"/>
    <w:rsid w:val="6B24787C"/>
    <w:rsid w:val="6B573233"/>
    <w:rsid w:val="6B5B6274"/>
    <w:rsid w:val="6B935D53"/>
    <w:rsid w:val="6C196F71"/>
    <w:rsid w:val="6C226FCB"/>
    <w:rsid w:val="6C31226F"/>
    <w:rsid w:val="6C325071"/>
    <w:rsid w:val="6C552F0B"/>
    <w:rsid w:val="6C8C67B7"/>
    <w:rsid w:val="6C9D744C"/>
    <w:rsid w:val="6CB344B1"/>
    <w:rsid w:val="6D167928"/>
    <w:rsid w:val="6D26299B"/>
    <w:rsid w:val="6D4772EC"/>
    <w:rsid w:val="6D48131E"/>
    <w:rsid w:val="6D8D6DE8"/>
    <w:rsid w:val="6D9078AF"/>
    <w:rsid w:val="6DAA3FEF"/>
    <w:rsid w:val="6DB620A5"/>
    <w:rsid w:val="6DC0172B"/>
    <w:rsid w:val="6DCB1511"/>
    <w:rsid w:val="6DCB690C"/>
    <w:rsid w:val="6DD41A5B"/>
    <w:rsid w:val="6DF43C2E"/>
    <w:rsid w:val="6DF51CA3"/>
    <w:rsid w:val="6E8335BD"/>
    <w:rsid w:val="6E8E12EF"/>
    <w:rsid w:val="6E972936"/>
    <w:rsid w:val="6ED446C5"/>
    <w:rsid w:val="6EDD1B0A"/>
    <w:rsid w:val="6F2A7D94"/>
    <w:rsid w:val="6F334FFC"/>
    <w:rsid w:val="6F8331F1"/>
    <w:rsid w:val="6F9D48C5"/>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164F6"/>
    <w:rsid w:val="72F33FD8"/>
    <w:rsid w:val="73BD0A2D"/>
    <w:rsid w:val="73C0646E"/>
    <w:rsid w:val="73E80822"/>
    <w:rsid w:val="742222F5"/>
    <w:rsid w:val="74476126"/>
    <w:rsid w:val="74706664"/>
    <w:rsid w:val="747F3682"/>
    <w:rsid w:val="749C4185"/>
    <w:rsid w:val="74B31275"/>
    <w:rsid w:val="75067759"/>
    <w:rsid w:val="75210778"/>
    <w:rsid w:val="75242FB6"/>
    <w:rsid w:val="752E6DCD"/>
    <w:rsid w:val="7551380D"/>
    <w:rsid w:val="75600BE5"/>
    <w:rsid w:val="7564475C"/>
    <w:rsid w:val="7583797F"/>
    <w:rsid w:val="75D20F1D"/>
    <w:rsid w:val="75DA2C18"/>
    <w:rsid w:val="75F54412"/>
    <w:rsid w:val="761D08E0"/>
    <w:rsid w:val="763E790A"/>
    <w:rsid w:val="765D347C"/>
    <w:rsid w:val="76826699"/>
    <w:rsid w:val="76A42E74"/>
    <w:rsid w:val="76C87133"/>
    <w:rsid w:val="76CD08D5"/>
    <w:rsid w:val="76DB4B92"/>
    <w:rsid w:val="77052AA4"/>
    <w:rsid w:val="77136511"/>
    <w:rsid w:val="77340A39"/>
    <w:rsid w:val="77351FD0"/>
    <w:rsid w:val="77472422"/>
    <w:rsid w:val="777F31F2"/>
    <w:rsid w:val="77886049"/>
    <w:rsid w:val="77BC3493"/>
    <w:rsid w:val="77D1700D"/>
    <w:rsid w:val="77EC04CC"/>
    <w:rsid w:val="78775729"/>
    <w:rsid w:val="78A42DB0"/>
    <w:rsid w:val="78A656AB"/>
    <w:rsid w:val="78AF5D62"/>
    <w:rsid w:val="78B2245C"/>
    <w:rsid w:val="78CC1378"/>
    <w:rsid w:val="78E172CC"/>
    <w:rsid w:val="78EA1D1F"/>
    <w:rsid w:val="790072D7"/>
    <w:rsid w:val="7904172F"/>
    <w:rsid w:val="790F7E27"/>
    <w:rsid w:val="792A231A"/>
    <w:rsid w:val="79316829"/>
    <w:rsid w:val="797E66A9"/>
    <w:rsid w:val="798518A4"/>
    <w:rsid w:val="79A97383"/>
    <w:rsid w:val="79D65855"/>
    <w:rsid w:val="79E27E8B"/>
    <w:rsid w:val="79F850CE"/>
    <w:rsid w:val="79FD443C"/>
    <w:rsid w:val="7A1D1975"/>
    <w:rsid w:val="7A363D39"/>
    <w:rsid w:val="7A3E5150"/>
    <w:rsid w:val="7A4670D6"/>
    <w:rsid w:val="7A534B63"/>
    <w:rsid w:val="7A615382"/>
    <w:rsid w:val="7A67303B"/>
    <w:rsid w:val="7A835A05"/>
    <w:rsid w:val="7AAB1D04"/>
    <w:rsid w:val="7ABA4368"/>
    <w:rsid w:val="7AD05746"/>
    <w:rsid w:val="7B257FFD"/>
    <w:rsid w:val="7B3330BB"/>
    <w:rsid w:val="7B343476"/>
    <w:rsid w:val="7B5A2978"/>
    <w:rsid w:val="7B5A7E4C"/>
    <w:rsid w:val="7B667AF9"/>
    <w:rsid w:val="7B7468F8"/>
    <w:rsid w:val="7BEE0103"/>
    <w:rsid w:val="7C0A0FE4"/>
    <w:rsid w:val="7C254906"/>
    <w:rsid w:val="7C4116D4"/>
    <w:rsid w:val="7C590818"/>
    <w:rsid w:val="7C7C10F6"/>
    <w:rsid w:val="7C853BEA"/>
    <w:rsid w:val="7C881368"/>
    <w:rsid w:val="7C9A79F1"/>
    <w:rsid w:val="7CA0528F"/>
    <w:rsid w:val="7CC77E2B"/>
    <w:rsid w:val="7CD74B2F"/>
    <w:rsid w:val="7CE27788"/>
    <w:rsid w:val="7D0C32F1"/>
    <w:rsid w:val="7D0F408D"/>
    <w:rsid w:val="7D17603D"/>
    <w:rsid w:val="7D2C7534"/>
    <w:rsid w:val="7D491C6C"/>
    <w:rsid w:val="7D5429C0"/>
    <w:rsid w:val="7D6E6D43"/>
    <w:rsid w:val="7D7C4ECA"/>
    <w:rsid w:val="7DB57A34"/>
    <w:rsid w:val="7DD722F0"/>
    <w:rsid w:val="7DE60973"/>
    <w:rsid w:val="7DEF0916"/>
    <w:rsid w:val="7E1E5218"/>
    <w:rsid w:val="7E9A4E1F"/>
    <w:rsid w:val="7EA7723A"/>
    <w:rsid w:val="7EDE145C"/>
    <w:rsid w:val="7EF56FBB"/>
    <w:rsid w:val="7F0768EB"/>
    <w:rsid w:val="7F0D7F93"/>
    <w:rsid w:val="7F143BEC"/>
    <w:rsid w:val="7F2826D7"/>
    <w:rsid w:val="7F6A0F42"/>
    <w:rsid w:val="7F715AF2"/>
    <w:rsid w:val="7F7F6F7C"/>
    <w:rsid w:val="7F886E69"/>
    <w:rsid w:val="7F9D0021"/>
    <w:rsid w:val="7FFA4074"/>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4"/>
    <w:qFormat/>
    <w:uiPriority w:val="0"/>
    <w:pPr>
      <w:widowControl/>
      <w:snapToGrid w:val="0"/>
      <w:spacing w:line="480" w:lineRule="exact"/>
      <w:ind w:firstLine="567"/>
    </w:pPr>
    <w:rPr>
      <w:rFonts w:ascii="宋体"/>
      <w:snapToGrid w:val="0"/>
      <w:color w:val="000000"/>
      <w:kern w:val="28"/>
      <w:sz w:val="28"/>
      <w:szCs w:val="20"/>
    </w:rPr>
  </w:style>
  <w:style w:type="paragraph" w:styleId="6">
    <w:name w:val="Plain Text"/>
    <w:basedOn w:val="1"/>
    <w:next w:val="1"/>
    <w:link w:val="126"/>
    <w:qFormat/>
    <w:uiPriority w:val="0"/>
    <w:rPr>
      <w:rFonts w:ascii="宋体" w:hAnsi="Courier New" w:cs="Arial"/>
      <w:snapToGrid w:val="0"/>
      <w:szCs w:val="21"/>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30"/>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3"/>
    <w:qFormat/>
    <w:uiPriority w:val="0"/>
    <w:pPr>
      <w:shd w:val="clear" w:color="auto" w:fill="000080"/>
    </w:pPr>
  </w:style>
  <w:style w:type="paragraph" w:styleId="20">
    <w:name w:val="annotation text"/>
    <w:basedOn w:val="1"/>
    <w:link w:val="344"/>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30"/>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0"/>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1"/>
    <w:qFormat/>
    <w:uiPriority w:val="0"/>
    <w:pPr>
      <w:ind w:firstLine="420"/>
    </w:pPr>
    <w:rPr>
      <w:rFonts w:hAnsi="Calibri" w:cs="Times New Roman"/>
      <w:snapToGrid/>
      <w:szCs w:val="20"/>
    </w:rPr>
  </w:style>
  <w:style w:type="paragraph" w:styleId="26">
    <w:name w:val="toc 6"/>
    <w:basedOn w:val="1"/>
    <w:next w:val="1"/>
    <w:qFormat/>
    <w:uiPriority w:val="0"/>
    <w:pPr>
      <w:ind w:left="2100" w:leftChars="1000"/>
    </w:pPr>
  </w:style>
  <w:style w:type="paragraph" w:styleId="27">
    <w:name w:val="Body Text Indent"/>
    <w:basedOn w:val="1"/>
    <w:next w:val="5"/>
    <w:link w:val="265"/>
    <w:qFormat/>
    <w:uiPriority w:val="0"/>
    <w:pPr>
      <w:spacing w:line="480" w:lineRule="exact"/>
      <w:ind w:firstLine="480" w:firstLineChars="200"/>
    </w:pPr>
    <w:rPr>
      <w:rFonts w:ascii="宋体" w:hAnsi="宋体"/>
      <w:sz w:val="24"/>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2"/>
    <w:qFormat/>
    <w:uiPriority w:val="0"/>
    <w:pPr>
      <w:ind w:left="100" w:leftChars="2500"/>
    </w:pPr>
    <w:rPr>
      <w:rFonts w:ascii="宋体"/>
      <w:sz w:val="24"/>
      <w:szCs w:val="21"/>
      <w:lang w:val="zh-CN"/>
    </w:rPr>
  </w:style>
  <w:style w:type="paragraph" w:styleId="38">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9">
    <w:name w:val="endnote text"/>
    <w:basedOn w:val="1"/>
    <w:link w:val="930"/>
    <w:qFormat/>
    <w:uiPriority w:val="0"/>
    <w:rPr>
      <w:lang w:val="zh-CN"/>
    </w:rPr>
  </w:style>
  <w:style w:type="paragraph" w:styleId="40">
    <w:name w:val="Balloon Text"/>
    <w:basedOn w:val="1"/>
    <w:link w:val="189"/>
    <w:qFormat/>
    <w:uiPriority w:val="0"/>
    <w:rPr>
      <w:sz w:val="18"/>
      <w:szCs w:val="18"/>
    </w:rPr>
  </w:style>
  <w:style w:type="paragraph" w:styleId="41">
    <w:name w:val="footer"/>
    <w:basedOn w:val="1"/>
    <w:link w:val="383"/>
    <w:qFormat/>
    <w:uiPriority w:val="99"/>
    <w:pPr>
      <w:tabs>
        <w:tab w:val="center" w:pos="4153"/>
        <w:tab w:val="right" w:pos="8306"/>
      </w:tabs>
      <w:snapToGrid w:val="0"/>
      <w:jc w:val="left"/>
    </w:pPr>
    <w:rPr>
      <w:sz w:val="18"/>
      <w:szCs w:val="18"/>
    </w:rPr>
  </w:style>
  <w:style w:type="paragraph" w:styleId="42">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
    <w:link w:val="310"/>
    <w:qFormat/>
    <w:uiPriority w:val="0"/>
    <w:pPr>
      <w:adjustRightInd/>
      <w:spacing w:before="60" w:after="60" w:line="300" w:lineRule="exact"/>
    </w:pPr>
    <w:rPr>
      <w:rFonts w:ascii="Calibri"/>
      <w:color w:val="0000FF"/>
      <w:kern w:val="0"/>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5"/>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2"/>
    <w:qFormat/>
    <w:uiPriority w:val="0"/>
    <w:pPr>
      <w:spacing w:after="120" w:line="480" w:lineRule="auto"/>
    </w:pPr>
  </w:style>
  <w:style w:type="paragraph" w:styleId="57">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7"/>
    <w:qFormat/>
    <w:uiPriority w:val="0"/>
    <w:rPr>
      <w:b/>
      <w:bCs/>
    </w:rPr>
  </w:style>
  <w:style w:type="paragraph" w:styleId="61">
    <w:name w:val="Body Text First Indent 2"/>
    <w:basedOn w:val="27"/>
    <w:next w:val="1"/>
    <w:link w:val="12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0">
    <w:name w:val="Normal Indent1"/>
    <w:basedOn w:val="1"/>
    <w:qFormat/>
    <w:uiPriority w:val="7"/>
    <w:pPr>
      <w:ind w:firstLine="420"/>
    </w:pPr>
  </w:style>
  <w:style w:type="paragraph" w:customStyle="1" w:styleId="8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2">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0"/>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61"/>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69"/>
    <w:qFormat/>
    <w:uiPriority w:val="0"/>
    <w:rPr>
      <w:rFonts w:ascii="Arial" w:hAnsi="Arial" w:eastAsia="黑体" w:cs="Arial"/>
      <w:snapToGrid w:val="0"/>
      <w:kern w:val="0"/>
      <w:szCs w:val="21"/>
    </w:rPr>
  </w:style>
  <w:style w:type="character" w:customStyle="1" w:styleId="126">
    <w:name w:val="纯文本 Char"/>
    <w:link w:val="6"/>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8"/>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9"/>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2"/>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7"/>
    <w:qFormat/>
    <w:uiPriority w:val="0"/>
    <w:rPr>
      <w:rFonts w:ascii="宋体"/>
      <w:kern w:val="2"/>
      <w:sz w:val="24"/>
      <w:szCs w:val="21"/>
      <w:lang w:val="zh-CN"/>
    </w:rPr>
  </w:style>
  <w:style w:type="character" w:customStyle="1" w:styleId="183">
    <w:name w:val="标题 9 Char"/>
    <w:link w:val="12"/>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0"/>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0"/>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5"/>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19"/>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69"/>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2"/>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7"/>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7"/>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82"/>
    <w:qFormat/>
    <w:uiPriority w:val="0"/>
    <w:rPr>
      <w:rFonts w:ascii="仿宋_GB2312"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7"/>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7"/>
    <w:qFormat/>
    <w:uiPriority w:val="0"/>
    <w:rPr>
      <w:rFonts w:ascii="黑体" w:hAnsi="Courier New" w:eastAsia="黑体"/>
    </w:rPr>
  </w:style>
  <w:style w:type="character" w:customStyle="1" w:styleId="302">
    <w:name w:val="正文文本 2 Char1"/>
    <w:link w:val="56"/>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7"/>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0"/>
    <w:qFormat/>
    <w:uiPriority w:val="0"/>
    <w:rPr>
      <w:b/>
      <w:bCs/>
      <w:kern w:val="2"/>
      <w:sz w:val="24"/>
      <w:szCs w:val="24"/>
    </w:rPr>
  </w:style>
  <w:style w:type="character" w:customStyle="1" w:styleId="308">
    <w:name w:val="正文文本缩进 2 Char"/>
    <w:link w:val="38"/>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1"/>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5"/>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7"/>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2"/>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qFormat/>
    <w:uiPriority w:val="0"/>
    <w:rPr>
      <w:kern w:val="2"/>
      <w:sz w:val="21"/>
      <w:szCs w:val="24"/>
    </w:rPr>
  </w:style>
  <w:style w:type="character" w:customStyle="1" w:styleId="345">
    <w:name w:val="签名 Char"/>
    <w:link w:val="43"/>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1"/>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3"/>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1"/>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2"/>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7"/>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1"/>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8"/>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2"/>
    <w:next w:val="82"/>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2"/>
    <w:next w:val="82"/>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7"/>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6"/>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3"/>
    <w:qFormat/>
    <w:uiPriority w:val="0"/>
    <w:pPr>
      <w:tabs>
        <w:tab w:val="left" w:pos="840"/>
      </w:tabs>
      <w:adjustRightInd/>
      <w:ind w:left="840" w:hanging="420"/>
    </w:pPr>
  </w:style>
  <w:style w:type="paragraph" w:customStyle="1" w:styleId="626">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8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81"/>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81"/>
    <w:qFormat/>
    <w:uiPriority w:val="0"/>
    <w:pPr>
      <w:tabs>
        <w:tab w:val="left" w:pos="1260"/>
        <w:tab w:val="left" w:pos="1680"/>
        <w:tab w:val="left" w:pos="2100"/>
      </w:tabs>
      <w:ind w:left="0"/>
      <w:outlineLvl w:val="3"/>
    </w:pPr>
  </w:style>
  <w:style w:type="paragraph" w:customStyle="1" w:styleId="656">
    <w:name w:val="一级条标题"/>
    <w:basedOn w:val="657"/>
    <w:next w:val="81"/>
    <w:qFormat/>
    <w:uiPriority w:val="0"/>
    <w:pPr>
      <w:tabs>
        <w:tab w:val="left" w:pos="1260"/>
        <w:tab w:val="left" w:pos="1680"/>
      </w:tabs>
      <w:spacing w:beforeLines="0" w:afterLines="0"/>
      <w:ind w:left="1680"/>
      <w:outlineLvl w:val="2"/>
    </w:pPr>
  </w:style>
  <w:style w:type="paragraph" w:customStyle="1" w:styleId="657">
    <w:name w:val="章标题"/>
    <w:next w:val="8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7"/>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7"/>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81"/>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81"/>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4"/>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7"/>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8"/>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8"/>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2"/>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9"/>
    <w:qFormat/>
    <w:uiPriority w:val="0"/>
    <w:rPr>
      <w:kern w:val="2"/>
      <w:sz w:val="21"/>
      <w:szCs w:val="24"/>
      <w:lang w:val="zh-CN"/>
    </w:rPr>
  </w:style>
  <w:style w:type="character" w:customStyle="1" w:styleId="931">
    <w:name w:val="无间隔 Char"/>
    <w:link w:val="483"/>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rmal]"/>
    <w:basedOn w:val="1"/>
    <w:qFormat/>
    <w:uiPriority w:val="0"/>
    <w:pPr>
      <w:widowControl/>
      <w:jc w:val="left"/>
    </w:pPr>
    <w:rPr>
      <w:rFonts w:ascii="宋体" w:hAnsi="宋体" w:cs="宋体"/>
      <w:kern w:val="0"/>
      <w:sz w:val="24"/>
    </w:rPr>
  </w:style>
  <w:style w:type="paragraph" w:customStyle="1" w:styleId="964">
    <w:name w:val="DAS正文"/>
    <w:basedOn w:val="1"/>
    <w:qFormat/>
    <w:uiPriority w:val="0"/>
    <w:pPr>
      <w:ind w:right="181" w:firstLine="480"/>
    </w:pPr>
    <w:rPr>
      <w:rFonts w:ascii="Verdana" w:hAnsi="Verdana"/>
      <w:sz w:val="24"/>
    </w:rPr>
  </w:style>
  <w:style w:type="paragraph" w:customStyle="1" w:styleId="965">
    <w:name w:val="BodyText1I2"/>
    <w:basedOn w:val="1"/>
    <w:qFormat/>
    <w:uiPriority w:val="0"/>
    <w:pPr>
      <w:spacing w:line="360" w:lineRule="auto"/>
      <w:ind w:firstLine="200" w:firstLineChars="200"/>
      <w:textAlignment w:val="baseline"/>
    </w:pPr>
    <w:rPr>
      <w:rFonts w:eastAsia="仿宋"/>
      <w:sz w:val="28"/>
    </w:rPr>
  </w:style>
  <w:style w:type="table" w:customStyle="1" w:styleId="96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77</Pages>
  <Words>37298</Words>
  <Characters>41064</Characters>
  <Lines>323</Lines>
  <Paragraphs>91</Paragraphs>
  <TotalTime>3</TotalTime>
  <ScaleCrop>false</ScaleCrop>
  <LinksUpToDate>false</LinksUpToDate>
  <CharactersWithSpaces>46810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青春 少年</cp:lastModifiedBy>
  <cp:lastPrinted>2023-04-21T14:00:00Z</cp:lastPrinted>
  <dcterms:modified xsi:type="dcterms:W3CDTF">2023-09-06T01:03:52Z</dcterms:modified>
  <dc:title>杭州市市民卡扩大发卡工程</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6339F1040E1941BDB4D63B2BF1D8C2DA_13</vt:lpwstr>
  </property>
</Properties>
</file>