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lang w:eastAsia="zh-CN"/>
        </w:rPr>
        <w:t>两山公司一期（首批）项目建设支撑体系设备（5）巡护船（艇）采购项目（</w:t>
      </w:r>
      <w:r>
        <w:rPr>
          <w:rFonts w:hint="eastAsia" w:ascii="仿宋" w:hAnsi="仿宋" w:eastAsia="仿宋" w:cs="仿宋"/>
          <w:b/>
          <w:bCs/>
          <w:color w:val="auto"/>
          <w:sz w:val="44"/>
          <w:szCs w:val="44"/>
          <w:highlight w:val="none"/>
          <w:lang w:val="en-US" w:eastAsia="zh-CN"/>
        </w:rPr>
        <w:t>非政府采购</w:t>
      </w:r>
      <w:r>
        <w:rPr>
          <w:rFonts w:hint="eastAsia" w:ascii="仿宋" w:hAnsi="仿宋" w:eastAsia="仿宋" w:cs="仿宋"/>
          <w:b/>
          <w:bCs/>
          <w:color w:val="auto"/>
          <w:sz w:val="44"/>
          <w:szCs w:val="44"/>
          <w:highlight w:val="none"/>
          <w:lang w:eastAsia="zh-CN"/>
        </w:rPr>
        <w:t>）</w:t>
      </w:r>
    </w:p>
    <w:p>
      <w:pPr>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6"/>
          <w:szCs w:val="36"/>
        </w:rPr>
        <w:t>公开招标</w:t>
      </w:r>
      <w:r>
        <w:rPr>
          <w:rFonts w:hint="eastAsia" w:ascii="仿宋" w:hAnsi="仿宋" w:eastAsia="仿宋" w:cs="仿宋"/>
          <w:b/>
          <w:color w:val="auto"/>
          <w:sz w:val="32"/>
          <w:szCs w:val="32"/>
        </w:rPr>
        <w:t>（电子招投标）</w:t>
      </w:r>
    </w:p>
    <w:p>
      <w:pPr>
        <w:spacing w:line="360" w:lineRule="auto"/>
        <w:rPr>
          <w:rFonts w:hint="eastAsia" w:ascii="仿宋" w:hAnsi="仿宋" w:eastAsia="仿宋" w:cs="仿宋"/>
          <w:b/>
          <w:color w:val="auto"/>
          <w:sz w:val="44"/>
          <w:szCs w:val="44"/>
        </w:rPr>
      </w:pPr>
    </w:p>
    <w:p>
      <w:pPr>
        <w:spacing w:line="1100" w:lineRule="exact"/>
        <w:jc w:val="center"/>
        <w:rPr>
          <w:rFonts w:hint="eastAsia" w:ascii="仿宋" w:hAnsi="仿宋" w:eastAsia="仿宋" w:cs="仿宋"/>
          <w:b/>
          <w:bCs/>
          <w:color w:val="auto"/>
          <w:sz w:val="80"/>
          <w:szCs w:val="80"/>
        </w:rPr>
      </w:pPr>
      <w:r>
        <w:rPr>
          <w:rFonts w:hint="eastAsia" w:ascii="仿宋" w:hAnsi="仿宋" w:eastAsia="仿宋" w:cs="仿宋"/>
          <w:b/>
          <w:bCs/>
          <w:color w:val="auto"/>
          <w:sz w:val="80"/>
          <w:szCs w:val="80"/>
        </w:rPr>
        <w:t>招</w:t>
      </w:r>
    </w:p>
    <w:p>
      <w:pPr>
        <w:spacing w:line="1100" w:lineRule="exact"/>
        <w:jc w:val="center"/>
        <w:rPr>
          <w:rFonts w:hint="eastAsia" w:ascii="仿宋" w:hAnsi="仿宋" w:eastAsia="仿宋" w:cs="仿宋"/>
          <w:b/>
          <w:bCs/>
          <w:color w:val="auto"/>
          <w:sz w:val="80"/>
          <w:szCs w:val="80"/>
        </w:rPr>
      </w:pPr>
      <w:r>
        <w:rPr>
          <w:rFonts w:hint="eastAsia" w:ascii="仿宋" w:hAnsi="仿宋" w:eastAsia="仿宋" w:cs="仿宋"/>
          <w:b/>
          <w:bCs/>
          <w:color w:val="auto"/>
          <w:sz w:val="80"/>
          <w:szCs w:val="80"/>
        </w:rPr>
        <w:t>标</w:t>
      </w:r>
    </w:p>
    <w:p>
      <w:pPr>
        <w:spacing w:line="1100" w:lineRule="exact"/>
        <w:jc w:val="center"/>
        <w:rPr>
          <w:rFonts w:hint="eastAsia" w:ascii="仿宋" w:hAnsi="仿宋" w:eastAsia="仿宋" w:cs="仿宋"/>
          <w:b/>
          <w:bCs/>
          <w:color w:val="auto"/>
          <w:sz w:val="80"/>
          <w:szCs w:val="80"/>
        </w:rPr>
      </w:pPr>
      <w:r>
        <w:rPr>
          <w:rFonts w:hint="eastAsia" w:ascii="仿宋" w:hAnsi="仿宋" w:eastAsia="仿宋" w:cs="仿宋"/>
          <w:b/>
          <w:bCs/>
          <w:color w:val="auto"/>
          <w:sz w:val="80"/>
          <w:szCs w:val="80"/>
        </w:rPr>
        <w:t>文</w:t>
      </w:r>
    </w:p>
    <w:p>
      <w:pPr>
        <w:widowControl/>
        <w:spacing w:line="360" w:lineRule="auto"/>
        <w:ind w:left="527" w:right="527"/>
        <w:jc w:val="center"/>
        <w:rPr>
          <w:rFonts w:hint="eastAsia" w:ascii="仿宋" w:hAnsi="仿宋" w:eastAsia="仿宋" w:cs="仿宋"/>
          <w:b/>
          <w:bCs/>
          <w:color w:val="auto"/>
          <w:sz w:val="80"/>
          <w:szCs w:val="80"/>
        </w:rPr>
      </w:pPr>
      <w:r>
        <w:rPr>
          <w:rFonts w:hint="eastAsia" w:ascii="仿宋" w:hAnsi="仿宋" w:eastAsia="仿宋" w:cs="仿宋"/>
          <w:b/>
          <w:bCs/>
          <w:color w:val="auto"/>
          <w:sz w:val="80"/>
          <w:szCs w:val="80"/>
        </w:rPr>
        <w:t>件</w:t>
      </w:r>
    </w:p>
    <w:p>
      <w:pPr>
        <w:widowControl/>
        <w:spacing w:line="520" w:lineRule="exact"/>
        <w:ind w:left="527" w:right="527"/>
        <w:jc w:val="center"/>
        <w:rPr>
          <w:rFonts w:hint="eastAsia" w:ascii="仿宋" w:hAnsi="仿宋" w:eastAsia="仿宋" w:cs="仿宋"/>
          <w:b/>
          <w:color w:val="auto"/>
          <w:sz w:val="24"/>
        </w:rPr>
      </w:pPr>
    </w:p>
    <w:p>
      <w:pPr>
        <w:widowControl/>
        <w:spacing w:line="520" w:lineRule="exact"/>
        <w:ind w:left="527" w:right="527"/>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（项目编号：</w:t>
      </w:r>
      <w:r>
        <w:rPr>
          <w:rFonts w:hint="eastAsia" w:ascii="仿宋" w:hAnsi="仿宋" w:eastAsia="仿宋" w:cs="仿宋"/>
          <w:b/>
          <w:color w:val="auto"/>
          <w:sz w:val="32"/>
          <w:szCs w:val="32"/>
          <w:lang w:val="zh-CN" w:eastAsia="zh-CN"/>
        </w:rPr>
        <w:t>DFJW2023-CA-020号</w:t>
      </w:r>
      <w:r>
        <w:rPr>
          <w:rFonts w:hint="eastAsia" w:ascii="仿宋" w:hAnsi="仿宋" w:eastAsia="仿宋" w:cs="仿宋"/>
          <w:b/>
          <w:color w:val="auto"/>
          <w:sz w:val="32"/>
          <w:szCs w:val="32"/>
        </w:rPr>
        <w:t>）</w:t>
      </w:r>
    </w:p>
    <w:p>
      <w:pPr>
        <w:spacing w:line="520" w:lineRule="exact"/>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淳安县两山生态资源经营开发有限公司</w:t>
      </w:r>
    </w:p>
    <w:p>
      <w:pPr>
        <w:spacing w:line="520" w:lineRule="exact"/>
        <w:jc w:val="center"/>
        <w:rPr>
          <w:rFonts w:hint="eastAsia" w:ascii="仿宋" w:hAnsi="仿宋" w:eastAsia="仿宋" w:cs="仿宋"/>
          <w:color w:val="auto"/>
        </w:rPr>
      </w:pPr>
      <w:r>
        <w:rPr>
          <w:rFonts w:hint="eastAsia" w:ascii="仿宋" w:hAnsi="仿宋" w:eastAsia="仿宋" w:cs="仿宋"/>
          <w:color w:val="auto"/>
          <w:sz w:val="32"/>
          <w:szCs w:val="32"/>
          <w:lang w:val="en-US" w:eastAsia="zh-CN"/>
        </w:rPr>
        <w:t>东方经纬项目管理有限公司</w:t>
      </w:r>
    </w:p>
    <w:tbl>
      <w:tblPr>
        <w:tblStyle w:val="62"/>
        <w:tblW w:w="0" w:type="auto"/>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7"/>
        <w:gridCol w:w="5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2" w:hRule="atLeast"/>
        </w:trPr>
        <w:tc>
          <w:tcPr>
            <w:tcW w:w="5137" w:type="dxa"/>
          </w:tcPr>
          <w:p>
            <w:pPr>
              <w:autoSpaceDE w:val="0"/>
              <w:spacing w:after="100" w:afterAutospacing="1"/>
              <w:jc w:val="left"/>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rPr>
              <w:t>采购单位确认（公章）：该采购文件已经我单位审核确认。</w:t>
            </w:r>
          </w:p>
          <w:p>
            <w:pPr>
              <w:autoSpaceDE w:val="0"/>
              <w:spacing w:after="100" w:afterAutospacing="1"/>
              <w:jc w:val="left"/>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rPr>
              <w:t>经办人（签名）：</w:t>
            </w:r>
          </w:p>
          <w:p>
            <w:pPr>
              <w:pStyle w:val="963"/>
              <w:rPr>
                <w:rFonts w:hint="eastAsia" w:ascii="仿宋" w:hAnsi="仿宋" w:eastAsia="仿宋" w:cs="仿宋"/>
                <w:color w:val="auto"/>
              </w:rPr>
            </w:pPr>
          </w:p>
          <w:p>
            <w:pPr>
              <w:pStyle w:val="963"/>
              <w:rPr>
                <w:rFonts w:hint="eastAsia" w:ascii="仿宋" w:hAnsi="仿宋" w:eastAsia="仿宋" w:cs="仿宋"/>
                <w:color w:val="auto"/>
              </w:rPr>
            </w:pPr>
          </w:p>
          <w:p>
            <w:pPr>
              <w:autoSpaceDE w:val="0"/>
              <w:spacing w:after="100" w:afterAutospacing="1"/>
              <w:jc w:val="left"/>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rPr>
              <w:t>日期：  年  月  日</w:t>
            </w:r>
          </w:p>
        </w:tc>
        <w:tc>
          <w:tcPr>
            <w:tcW w:w="5047" w:type="dxa"/>
          </w:tcPr>
          <w:p>
            <w:pPr>
              <w:autoSpaceDE w:val="0"/>
              <w:spacing w:after="100" w:afterAutospacing="1" w:line="240" w:lineRule="atLeast"/>
              <w:jc w:val="left"/>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rPr>
              <w:t>代理机构审批（公章）：同意发布</w:t>
            </w:r>
          </w:p>
          <w:p>
            <w:pPr>
              <w:autoSpaceDE w:val="0"/>
              <w:spacing w:after="100" w:afterAutospacing="1" w:line="240" w:lineRule="atLeast"/>
              <w:jc w:val="left"/>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rPr>
              <w:t>经办人（签名）：</w:t>
            </w:r>
          </w:p>
          <w:p>
            <w:pPr>
              <w:pStyle w:val="963"/>
              <w:rPr>
                <w:rFonts w:hint="eastAsia" w:ascii="仿宋" w:hAnsi="仿宋" w:eastAsia="仿宋" w:cs="仿宋"/>
                <w:color w:val="auto"/>
              </w:rPr>
            </w:pPr>
          </w:p>
          <w:p>
            <w:pPr>
              <w:pStyle w:val="963"/>
              <w:rPr>
                <w:rFonts w:hint="eastAsia" w:ascii="仿宋" w:hAnsi="仿宋" w:eastAsia="仿宋" w:cs="仿宋"/>
                <w:color w:val="auto"/>
              </w:rPr>
            </w:pPr>
          </w:p>
          <w:p>
            <w:pPr>
              <w:autoSpaceDE w:val="0"/>
              <w:spacing w:after="100" w:afterAutospacing="1" w:line="240" w:lineRule="atLeast"/>
              <w:jc w:val="left"/>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rPr>
              <w:t>日期：  年  月  日</w:t>
            </w:r>
          </w:p>
        </w:tc>
      </w:tr>
    </w:tbl>
    <w:p>
      <w:pPr>
        <w:spacing w:line="520" w:lineRule="exact"/>
        <w:jc w:val="center"/>
        <w:rPr>
          <w:rFonts w:hint="eastAsia" w:ascii="仿宋" w:hAnsi="仿宋" w:eastAsia="仿宋" w:cs="仿宋"/>
          <w:color w:val="auto"/>
          <w:sz w:val="24"/>
        </w:rPr>
      </w:pPr>
    </w:p>
    <w:p>
      <w:pPr>
        <w:jc w:val="center"/>
        <w:rPr>
          <w:rFonts w:hint="eastAsia" w:ascii="仿宋" w:hAnsi="仿宋" w:eastAsia="仿宋" w:cs="仿宋"/>
          <w:color w:val="auto"/>
          <w:sz w:val="24"/>
        </w:rPr>
        <w:sectPr>
          <w:headerReference r:id="rId3" w:type="default"/>
          <w:footerReference r:id="rId4" w:type="default"/>
          <w:pgSz w:w="11906" w:h="16838"/>
          <w:pgMar w:top="1134" w:right="1134" w:bottom="851" w:left="1134" w:header="680" w:footer="680" w:gutter="0"/>
          <w:pgNumType w:start="1"/>
          <w:cols w:space="720" w:num="1"/>
          <w:docGrid w:type="lines" w:linePitch="312" w:charSpace="0"/>
        </w:sectPr>
      </w:pPr>
    </w:p>
    <w:p>
      <w:pPr>
        <w:spacing w:line="360" w:lineRule="auto"/>
        <w:jc w:val="center"/>
        <w:rPr>
          <w:rFonts w:hint="eastAsia" w:ascii="仿宋" w:hAnsi="仿宋" w:eastAsia="仿宋" w:cs="仿宋"/>
          <w:color w:val="auto"/>
          <w:sz w:val="24"/>
        </w:rPr>
      </w:pPr>
    </w:p>
    <w:p>
      <w:pPr>
        <w:spacing w:line="360" w:lineRule="auto"/>
        <w:jc w:val="center"/>
        <w:rPr>
          <w:rFonts w:hint="eastAsia" w:ascii="仿宋" w:hAnsi="仿宋" w:eastAsia="仿宋" w:cs="仿宋"/>
          <w:b/>
          <w:color w:val="auto"/>
          <w:sz w:val="48"/>
          <w:szCs w:val="48"/>
        </w:rPr>
      </w:pPr>
      <w:r>
        <w:rPr>
          <w:rFonts w:hint="eastAsia" w:ascii="仿宋" w:hAnsi="仿宋" w:eastAsia="仿宋" w:cs="仿宋"/>
          <w:b/>
          <w:color w:val="auto"/>
          <w:sz w:val="48"/>
          <w:szCs w:val="48"/>
        </w:rPr>
        <w:t>目  录</w:t>
      </w:r>
    </w:p>
    <w:p>
      <w:pPr>
        <w:spacing w:line="360" w:lineRule="auto"/>
        <w:rPr>
          <w:rFonts w:hint="eastAsia" w:ascii="仿宋" w:hAnsi="仿宋" w:eastAsia="仿宋" w:cs="仿宋"/>
          <w:color w:val="auto"/>
          <w:sz w:val="32"/>
          <w:szCs w:val="32"/>
        </w:rPr>
      </w:pPr>
    </w:p>
    <w:p>
      <w:pPr>
        <w:spacing w:line="360" w:lineRule="auto"/>
        <w:rPr>
          <w:rFonts w:hint="eastAsia" w:ascii="仿宋" w:hAnsi="仿宋" w:eastAsia="仿宋" w:cs="仿宋"/>
          <w:color w:val="auto"/>
          <w:sz w:val="32"/>
          <w:szCs w:val="32"/>
        </w:rPr>
      </w:pP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第一部分      招标公告</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第二部分      投标人须知</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第三部分      采购需求</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第四部分      评标办法</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第五部分      拟签订的合同文本</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第六部分      应提交的有关格式范例</w:t>
      </w:r>
    </w:p>
    <w:p>
      <w:pPr>
        <w:spacing w:line="360" w:lineRule="auto"/>
        <w:ind w:firstLine="549" w:firstLineChars="229"/>
        <w:rPr>
          <w:rFonts w:hint="eastAsia" w:ascii="仿宋" w:hAnsi="仿宋" w:eastAsia="仿宋" w:cs="仿宋"/>
          <w:color w:val="auto"/>
          <w:sz w:val="24"/>
        </w:rPr>
      </w:pPr>
      <w:bookmarkStart w:id="0" w:name="_Hlt91233176"/>
      <w:bookmarkEnd w:id="0"/>
      <w:bookmarkStart w:id="1" w:name="_Toc91899869"/>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rPr>
          <w:rFonts w:hint="eastAsia" w:ascii="仿宋" w:hAnsi="仿宋" w:eastAsia="仿宋" w:cs="仿宋"/>
          <w:color w:val="auto"/>
          <w:sz w:val="24"/>
        </w:rPr>
      </w:pPr>
    </w:p>
    <w:p>
      <w:pPr>
        <w:adjustRightInd/>
        <w:spacing w:line="360" w:lineRule="auto"/>
        <w:jc w:val="center"/>
        <w:outlineLvl w:val="0"/>
        <w:rPr>
          <w:rFonts w:hint="eastAsia" w:ascii="仿宋" w:hAnsi="仿宋" w:eastAsia="仿宋" w:cs="仿宋"/>
          <w:b/>
          <w:color w:val="auto"/>
          <w:sz w:val="36"/>
          <w:szCs w:val="20"/>
        </w:rPr>
      </w:pPr>
      <w:bookmarkStart w:id="2" w:name="第一部分"/>
      <w:r>
        <w:rPr>
          <w:rFonts w:hint="eastAsia" w:ascii="仿宋" w:hAnsi="仿宋" w:eastAsia="仿宋" w:cs="仿宋"/>
          <w:b/>
          <w:color w:val="auto"/>
          <w:sz w:val="36"/>
          <w:szCs w:val="36"/>
        </w:rPr>
        <w:br w:type="page"/>
      </w:r>
      <w:bookmarkEnd w:id="1"/>
      <w:bookmarkEnd w:id="2"/>
      <w:bookmarkStart w:id="3" w:name="_Hlt74707423"/>
      <w:bookmarkEnd w:id="3"/>
      <w:bookmarkStart w:id="4" w:name="_Hlt74729822"/>
      <w:bookmarkEnd w:id="4"/>
      <w:bookmarkStart w:id="5" w:name="_Hlt74728647"/>
      <w:bookmarkEnd w:id="5"/>
      <w:bookmarkStart w:id="6" w:name="_Hlt74649545"/>
      <w:bookmarkEnd w:id="6"/>
      <w:bookmarkStart w:id="7" w:name="第二部分"/>
      <w:bookmarkStart w:id="8" w:name="_Toc91899870"/>
      <w:bookmarkStart w:id="9" w:name="_Toc91899871"/>
      <w:r>
        <w:rPr>
          <w:rFonts w:hint="eastAsia" w:ascii="仿宋" w:hAnsi="仿宋" w:eastAsia="仿宋" w:cs="仿宋"/>
          <w:b/>
          <w:color w:val="auto"/>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hint="eastAsia" w:ascii="仿宋" w:hAnsi="仿宋" w:eastAsia="仿宋" w:cs="仿宋"/>
          <w:color w:val="auto"/>
          <w:sz w:val="24"/>
          <w:u w:val="single"/>
        </w:rPr>
      </w:pPr>
      <w:r>
        <w:rPr>
          <w:rFonts w:hint="eastAsia" w:ascii="仿宋" w:hAnsi="仿宋" w:eastAsia="仿宋" w:cs="仿宋"/>
          <w:color w:val="auto"/>
          <w:sz w:val="24"/>
          <w:u w:val="single"/>
          <w:lang w:eastAsia="zh-CN"/>
        </w:rPr>
        <w:t>两山公司一期（首批）项目建设支撑体系设备（5）巡护船（艇）</w:t>
      </w:r>
      <w:r>
        <w:rPr>
          <w:rFonts w:hint="eastAsia" w:ascii="仿宋" w:hAnsi="仿宋" w:eastAsia="仿宋" w:cs="仿宋"/>
          <w:color w:val="auto"/>
          <w:sz w:val="24"/>
          <w:u w:val="single"/>
        </w:rPr>
        <w:t>采购项目</w:t>
      </w:r>
      <w:r>
        <w:rPr>
          <w:rFonts w:hint="eastAsia" w:ascii="仿宋" w:hAnsi="仿宋" w:eastAsia="仿宋" w:cs="仿宋"/>
          <w:color w:val="auto"/>
          <w:sz w:val="24"/>
        </w:rPr>
        <w:t>招标项目的潜在投标人应在</w:t>
      </w:r>
      <w:r>
        <w:rPr>
          <w:rFonts w:hint="eastAsia" w:ascii="仿宋" w:hAnsi="仿宋" w:eastAsia="仿宋" w:cs="仿宋"/>
          <w:color w:val="auto"/>
          <w:sz w:val="24"/>
          <w:lang w:eastAsia="zh-CN"/>
        </w:rPr>
        <w:t>乐</w:t>
      </w:r>
      <w:r>
        <w:rPr>
          <w:rFonts w:hint="eastAsia" w:ascii="仿宋" w:hAnsi="仿宋" w:eastAsia="仿宋" w:cs="仿宋"/>
          <w:color w:val="auto"/>
          <w:sz w:val="24"/>
        </w:rPr>
        <w:t>采云平台（</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"https://www.zcygov.cn/）获取（下载）招标文件，并于202%20年%20月%20日%20点%20分00秒" </w:instrText>
      </w:r>
      <w:r>
        <w:rPr>
          <w:rFonts w:hint="eastAsia" w:ascii="仿宋" w:hAnsi="仿宋" w:eastAsia="仿宋" w:cs="仿宋"/>
          <w:color w:val="auto"/>
        </w:rPr>
        <w:fldChar w:fldCharType="separate"/>
      </w:r>
      <w:r>
        <w:rPr>
          <w:rStyle w:val="76"/>
          <w:rFonts w:hint="eastAsia" w:ascii="仿宋" w:hAnsi="仿宋" w:eastAsia="仿宋" w:cs="仿宋"/>
          <w:snapToGrid/>
          <w:color w:val="auto"/>
          <w:kern w:val="2"/>
          <w:sz w:val="24"/>
          <w:szCs w:val="24"/>
          <w:highlight w:val="none"/>
        </w:rPr>
        <w:t>https://</w:t>
      </w:r>
      <w:r>
        <w:rPr>
          <w:rStyle w:val="76"/>
          <w:rFonts w:hint="eastAsia" w:ascii="仿宋" w:hAnsi="仿宋" w:eastAsia="仿宋" w:cs="仿宋"/>
          <w:snapToGrid/>
          <w:color w:val="auto"/>
          <w:kern w:val="2"/>
          <w:sz w:val="24"/>
          <w:szCs w:val="24"/>
          <w:highlight w:val="none"/>
          <w:lang w:val="en-US" w:eastAsia="zh-CN"/>
        </w:rPr>
        <w:t>www.lecaiyun.com</w:t>
      </w:r>
      <w:r>
        <w:rPr>
          <w:rStyle w:val="76"/>
          <w:rFonts w:hint="eastAsia" w:ascii="仿宋" w:hAnsi="仿宋" w:eastAsia="仿宋" w:cs="仿宋"/>
          <w:snapToGrid/>
          <w:color w:val="auto"/>
          <w:kern w:val="2"/>
          <w:sz w:val="24"/>
          <w:szCs w:val="24"/>
        </w:rPr>
        <w:t>）获取（下载）招标文件，并于2023 年</w:t>
      </w:r>
      <w:r>
        <w:rPr>
          <w:rStyle w:val="76"/>
          <w:rFonts w:hint="eastAsia" w:ascii="仿宋" w:hAnsi="仿宋" w:eastAsia="仿宋" w:cs="仿宋"/>
          <w:snapToGrid/>
          <w:color w:val="auto"/>
          <w:kern w:val="2"/>
          <w:sz w:val="24"/>
          <w:szCs w:val="24"/>
          <w:lang w:val="en-US" w:eastAsia="zh-CN"/>
        </w:rPr>
        <w:t>09</w:t>
      </w:r>
      <w:r>
        <w:rPr>
          <w:rStyle w:val="76"/>
          <w:rFonts w:hint="eastAsia" w:ascii="仿宋" w:hAnsi="仿宋" w:eastAsia="仿宋" w:cs="仿宋"/>
          <w:snapToGrid/>
          <w:color w:val="auto"/>
          <w:kern w:val="2"/>
          <w:sz w:val="24"/>
          <w:szCs w:val="24"/>
        </w:rPr>
        <w:t>月</w:t>
      </w:r>
      <w:r>
        <w:rPr>
          <w:rStyle w:val="76"/>
          <w:rFonts w:hint="eastAsia" w:ascii="仿宋" w:hAnsi="仿宋" w:eastAsia="仿宋" w:cs="仿宋"/>
          <w:snapToGrid/>
          <w:color w:val="auto"/>
          <w:kern w:val="2"/>
          <w:sz w:val="24"/>
          <w:szCs w:val="24"/>
          <w:lang w:val="en-US" w:eastAsia="zh-CN"/>
        </w:rPr>
        <w:t>26</w:t>
      </w:r>
      <w:r>
        <w:rPr>
          <w:rStyle w:val="76"/>
          <w:rFonts w:hint="eastAsia" w:ascii="仿宋" w:hAnsi="仿宋" w:eastAsia="仿宋" w:cs="仿宋"/>
          <w:snapToGrid/>
          <w:color w:val="auto"/>
          <w:kern w:val="2"/>
          <w:sz w:val="24"/>
          <w:szCs w:val="24"/>
        </w:rPr>
        <w:t>日09点 30分</w:t>
      </w:r>
      <w:r>
        <w:rPr>
          <w:rStyle w:val="76"/>
          <w:rFonts w:hint="eastAsia" w:ascii="仿宋" w:hAnsi="仿宋" w:eastAsia="仿宋" w:cs="仿宋"/>
          <w:bCs/>
          <w:snapToGrid/>
          <w:color w:val="auto"/>
          <w:kern w:val="2"/>
          <w:sz w:val="24"/>
          <w:szCs w:val="24"/>
        </w:rPr>
        <w:t>00秒</w:t>
      </w:r>
      <w:r>
        <w:rPr>
          <w:rStyle w:val="76"/>
          <w:rFonts w:hint="eastAsia" w:ascii="仿宋" w:hAnsi="仿宋" w:eastAsia="仿宋" w:cs="仿宋"/>
          <w:bCs/>
          <w:snapToGrid/>
          <w:color w:val="auto"/>
          <w:kern w:val="2"/>
          <w:sz w:val="24"/>
          <w:szCs w:val="24"/>
        </w:rPr>
        <w:fldChar w:fldCharType="end"/>
      </w:r>
      <w:r>
        <w:rPr>
          <w:rFonts w:hint="eastAsia" w:ascii="仿宋" w:hAnsi="仿宋" w:eastAsia="仿宋" w:cs="仿宋"/>
          <w:bCs/>
          <w:color w:val="auto"/>
          <w:sz w:val="24"/>
        </w:rPr>
        <w:t>（北京时间）前</w:t>
      </w:r>
      <w:r>
        <w:rPr>
          <w:rFonts w:hint="eastAsia" w:ascii="仿宋" w:hAnsi="仿宋" w:eastAsia="仿宋" w:cs="仿宋"/>
          <w:color w:val="auto"/>
          <w:sz w:val="24"/>
        </w:rPr>
        <w:t>递交（上传）投标文件。</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 xml:space="preserve">一、项目基本情况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b/>
          <w:color w:val="auto"/>
          <w:sz w:val="24"/>
        </w:rPr>
        <w:t>项目编号：</w:t>
      </w:r>
      <w:r>
        <w:rPr>
          <w:rFonts w:hint="eastAsia" w:ascii="仿宋" w:hAnsi="仿宋" w:eastAsia="仿宋" w:cs="仿宋"/>
          <w:bCs/>
          <w:color w:val="auto"/>
          <w:sz w:val="24"/>
          <w:lang w:eastAsia="zh-CN"/>
        </w:rPr>
        <w:t>DFJW2023-CA-0</w:t>
      </w:r>
      <w:r>
        <w:rPr>
          <w:rFonts w:hint="eastAsia" w:ascii="仿宋" w:hAnsi="仿宋" w:eastAsia="仿宋" w:cs="仿宋"/>
          <w:bCs/>
          <w:color w:val="auto"/>
          <w:sz w:val="24"/>
          <w:lang w:val="en-US" w:eastAsia="zh-CN"/>
        </w:rPr>
        <w:t>20</w:t>
      </w:r>
      <w:r>
        <w:rPr>
          <w:rFonts w:hint="eastAsia" w:ascii="仿宋" w:hAnsi="仿宋" w:eastAsia="仿宋" w:cs="仿宋"/>
          <w:bCs/>
          <w:color w:val="auto"/>
          <w:sz w:val="24"/>
          <w:lang w:eastAsia="zh-CN"/>
        </w:rPr>
        <w:t>号</w:t>
      </w:r>
    </w:p>
    <w:p>
      <w:pPr>
        <w:spacing w:line="360" w:lineRule="auto"/>
        <w:ind w:firstLine="480"/>
        <w:rPr>
          <w:rFonts w:hint="eastAsia" w:ascii="仿宋" w:hAnsi="仿宋" w:eastAsia="仿宋" w:cs="仿宋"/>
          <w:bCs/>
          <w:color w:val="auto"/>
          <w:sz w:val="24"/>
          <w:lang w:eastAsia="zh-CN"/>
        </w:rPr>
      </w:pPr>
      <w:r>
        <w:rPr>
          <w:rFonts w:hint="eastAsia" w:ascii="仿宋" w:hAnsi="仿宋" w:eastAsia="仿宋" w:cs="仿宋"/>
          <w:b/>
          <w:color w:val="auto"/>
          <w:sz w:val="24"/>
        </w:rPr>
        <w:t>项目名称：</w:t>
      </w:r>
      <w:r>
        <w:rPr>
          <w:rFonts w:hint="eastAsia" w:ascii="仿宋" w:hAnsi="仿宋" w:eastAsia="仿宋" w:cs="仿宋"/>
          <w:bCs/>
          <w:color w:val="auto"/>
          <w:sz w:val="24"/>
          <w:lang w:eastAsia="zh-CN"/>
        </w:rPr>
        <w:t>两山公司一期（首批）项目建设支撑体系设备（5）巡护船（艇）采购项目</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 xml:space="preserve">    预算金额（元）：</w:t>
      </w:r>
      <w:r>
        <w:rPr>
          <w:rFonts w:hint="eastAsia" w:ascii="仿宋" w:hAnsi="仿宋" w:eastAsia="仿宋" w:cs="仿宋"/>
          <w:color w:val="auto"/>
          <w:sz w:val="24"/>
          <w:lang w:val="en-US" w:eastAsia="zh-CN"/>
        </w:rPr>
        <w:t>4100000</w:t>
      </w:r>
      <w:r>
        <w:rPr>
          <w:rFonts w:hint="eastAsia" w:ascii="仿宋" w:hAnsi="仿宋" w:eastAsia="仿宋" w:cs="仿宋"/>
          <w:color w:val="auto"/>
          <w:sz w:val="24"/>
        </w:rPr>
        <w:t>.00元</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bCs/>
          <w:color w:val="auto"/>
          <w:sz w:val="24"/>
        </w:rPr>
        <w:t>最高限价（元）</w:t>
      </w:r>
      <w:r>
        <w:rPr>
          <w:rFonts w:hint="eastAsia" w:ascii="仿宋" w:hAnsi="仿宋" w:eastAsia="仿宋" w:cs="仿宋"/>
          <w:color w:val="auto"/>
          <w:sz w:val="24"/>
        </w:rPr>
        <w:t>：</w:t>
      </w:r>
      <w:r>
        <w:rPr>
          <w:rFonts w:hint="eastAsia" w:ascii="仿宋" w:hAnsi="仿宋" w:eastAsia="仿宋" w:cs="仿宋"/>
          <w:color w:val="auto"/>
          <w:sz w:val="24"/>
          <w:lang w:val="en-US" w:eastAsia="zh-CN"/>
        </w:rPr>
        <w:t>4100000</w:t>
      </w:r>
      <w:r>
        <w:rPr>
          <w:rFonts w:hint="eastAsia" w:ascii="仿宋" w:hAnsi="仿宋" w:eastAsia="仿宋" w:cs="仿宋"/>
          <w:color w:val="auto"/>
          <w:sz w:val="24"/>
        </w:rPr>
        <w:t>.00元</w:t>
      </w:r>
    </w:p>
    <w:p>
      <w:pPr>
        <w:spacing w:line="360" w:lineRule="auto"/>
        <w:ind w:firstLine="480"/>
        <w:rPr>
          <w:rFonts w:hint="eastAsia" w:ascii="仿宋" w:hAnsi="仿宋" w:eastAsia="仿宋" w:cs="仿宋"/>
          <w:snapToGrid/>
          <w:color w:val="auto"/>
          <w:kern w:val="2"/>
          <w:sz w:val="24"/>
          <w:szCs w:val="24"/>
        </w:rPr>
      </w:pPr>
      <w:r>
        <w:rPr>
          <w:rFonts w:hint="eastAsia" w:ascii="仿宋" w:hAnsi="仿宋" w:eastAsia="仿宋" w:cs="仿宋"/>
          <w:b/>
          <w:bCs/>
          <w:snapToGrid/>
          <w:color w:val="auto"/>
          <w:kern w:val="2"/>
          <w:sz w:val="24"/>
          <w:szCs w:val="24"/>
        </w:rPr>
        <w:t>采购需求：</w:t>
      </w:r>
      <w:r>
        <w:rPr>
          <w:rFonts w:hint="eastAsia" w:ascii="仿宋" w:hAnsi="仿宋" w:eastAsia="仿宋" w:cs="仿宋"/>
          <w:bCs/>
          <w:color w:val="auto"/>
          <w:sz w:val="24"/>
          <w:lang w:eastAsia="zh-CN"/>
        </w:rPr>
        <w:t>两山公司一期（首批）项目建设支撑体系设备（5）巡护船（艇）采购项目</w:t>
      </w:r>
      <w:r>
        <w:rPr>
          <w:rFonts w:hint="eastAsia" w:ascii="仿宋" w:hAnsi="仿宋" w:eastAsia="仿宋" w:cs="仿宋"/>
          <w:snapToGrid/>
          <w:color w:val="auto"/>
          <w:kern w:val="2"/>
          <w:sz w:val="24"/>
          <w:szCs w:val="24"/>
        </w:rPr>
        <w:t>，主要内容：</w:t>
      </w:r>
      <w:r>
        <w:rPr>
          <w:rFonts w:hint="eastAsia" w:ascii="仿宋" w:hAnsi="仿宋" w:eastAsia="仿宋" w:cs="仿宋"/>
          <w:snapToGrid/>
          <w:color w:val="auto"/>
          <w:kern w:val="2"/>
          <w:sz w:val="24"/>
          <w:szCs w:val="24"/>
          <w:lang w:val="zh-CN" w:eastAsia="zh-CN"/>
        </w:rPr>
        <w:t>1艘17.8m</w:t>
      </w:r>
      <w:r>
        <w:rPr>
          <w:rFonts w:hint="eastAsia" w:ascii="仿宋" w:hAnsi="仿宋" w:eastAsia="仿宋" w:cs="仿宋"/>
          <w:snapToGrid/>
          <w:color w:val="auto"/>
          <w:kern w:val="2"/>
          <w:sz w:val="24"/>
          <w:szCs w:val="24"/>
          <w:lang w:val="en-US" w:eastAsia="zh-CN"/>
        </w:rPr>
        <w:t>巡护</w:t>
      </w:r>
      <w:r>
        <w:rPr>
          <w:rFonts w:hint="eastAsia" w:ascii="仿宋" w:hAnsi="仿宋" w:eastAsia="仿宋" w:cs="仿宋"/>
          <w:snapToGrid/>
          <w:color w:val="auto"/>
          <w:kern w:val="2"/>
          <w:sz w:val="24"/>
          <w:szCs w:val="24"/>
          <w:lang w:val="zh-CN" w:eastAsia="zh-CN"/>
        </w:rPr>
        <w:t>船、1艘10.56m</w:t>
      </w:r>
      <w:r>
        <w:rPr>
          <w:rFonts w:hint="eastAsia" w:ascii="仿宋" w:hAnsi="仿宋" w:eastAsia="仿宋" w:cs="仿宋"/>
          <w:snapToGrid/>
          <w:color w:val="auto"/>
          <w:kern w:val="2"/>
          <w:sz w:val="24"/>
          <w:szCs w:val="24"/>
          <w:lang w:val="en-US" w:eastAsia="zh-CN"/>
        </w:rPr>
        <w:t>巡护艇</w:t>
      </w:r>
      <w:r>
        <w:rPr>
          <w:rFonts w:hint="eastAsia" w:ascii="仿宋" w:hAnsi="仿宋" w:eastAsia="仿宋" w:cs="仿宋"/>
          <w:snapToGrid/>
          <w:color w:val="auto"/>
          <w:kern w:val="2"/>
          <w:sz w:val="24"/>
          <w:szCs w:val="24"/>
          <w:lang w:val="zh-CN" w:eastAsia="zh-CN"/>
        </w:rPr>
        <w:t>、7艘7.68m</w:t>
      </w:r>
      <w:r>
        <w:rPr>
          <w:rFonts w:hint="eastAsia" w:ascii="仿宋" w:hAnsi="仿宋" w:eastAsia="仿宋" w:cs="仿宋"/>
          <w:snapToGrid/>
          <w:color w:val="auto"/>
          <w:kern w:val="2"/>
          <w:sz w:val="24"/>
          <w:szCs w:val="24"/>
          <w:lang w:val="en-US" w:eastAsia="zh-CN"/>
        </w:rPr>
        <w:t>巡护艇</w:t>
      </w:r>
      <w:r>
        <w:rPr>
          <w:rFonts w:hint="eastAsia" w:ascii="仿宋" w:hAnsi="仿宋" w:eastAsia="仿宋" w:cs="仿宋"/>
          <w:snapToGrid/>
          <w:color w:val="auto"/>
          <w:kern w:val="2"/>
          <w:sz w:val="24"/>
          <w:szCs w:val="24"/>
          <w:lang w:val="zh-CN" w:eastAsia="zh-CN"/>
        </w:rPr>
        <w:t>建造。</w:t>
      </w:r>
      <w:r>
        <w:rPr>
          <w:rFonts w:hint="eastAsia" w:ascii="仿宋" w:hAnsi="仿宋" w:eastAsia="仿宋" w:cs="仿宋"/>
          <w:snapToGrid/>
          <w:color w:val="auto"/>
          <w:kern w:val="2"/>
          <w:sz w:val="24"/>
          <w:szCs w:val="24"/>
          <w:lang w:val="zh-CN"/>
        </w:rPr>
        <w:t>具体包括：船舶</w:t>
      </w:r>
      <w:r>
        <w:rPr>
          <w:rFonts w:hint="eastAsia" w:ascii="仿宋" w:hAnsi="仿宋" w:eastAsia="仿宋" w:cs="仿宋"/>
          <w:snapToGrid/>
          <w:color w:val="auto"/>
          <w:kern w:val="2"/>
          <w:sz w:val="24"/>
          <w:szCs w:val="24"/>
          <w:lang w:val="zh-CN" w:eastAsia="zh-CN"/>
        </w:rPr>
        <w:t>建造</w:t>
      </w:r>
      <w:r>
        <w:rPr>
          <w:rFonts w:hint="eastAsia" w:ascii="仿宋" w:hAnsi="仿宋" w:eastAsia="仿宋" w:cs="仿宋"/>
          <w:snapToGrid/>
          <w:color w:val="auto"/>
          <w:kern w:val="2"/>
          <w:sz w:val="24"/>
          <w:szCs w:val="24"/>
          <w:lang w:val="zh-CN"/>
        </w:rPr>
        <w:t>、</w:t>
      </w:r>
      <w:r>
        <w:rPr>
          <w:rFonts w:hint="eastAsia" w:ascii="仿宋" w:hAnsi="仿宋" w:eastAsia="仿宋" w:cs="仿宋"/>
          <w:snapToGrid/>
          <w:color w:val="auto"/>
          <w:kern w:val="2"/>
          <w:sz w:val="24"/>
          <w:szCs w:val="24"/>
          <w:lang w:val="zh-CN" w:eastAsia="zh-CN"/>
        </w:rPr>
        <w:t>装修、配套设备安装、调试、全船试验、交船工作,以及不少于1年(含)的免费售后现场技术支持服务及免费质量保修服务；</w:t>
      </w:r>
      <w:r>
        <w:rPr>
          <w:rFonts w:hint="eastAsia" w:ascii="仿宋" w:hAnsi="仿宋" w:eastAsia="仿宋" w:cs="仿宋"/>
          <w:snapToGrid/>
          <w:color w:val="auto"/>
          <w:kern w:val="2"/>
          <w:sz w:val="24"/>
          <w:szCs w:val="24"/>
        </w:rPr>
        <w:t>具体以招标文件第三部分采购需求为准，供应商可点击本公告下方“浏览采购文件”查看采购需求。</w:t>
      </w:r>
    </w:p>
    <w:p>
      <w:pPr>
        <w:spacing w:line="360" w:lineRule="auto"/>
        <w:ind w:firstLine="482" w:firstLineChars="200"/>
        <w:rPr>
          <w:rFonts w:hint="eastAsia" w:ascii="仿宋" w:hAnsi="仿宋" w:eastAsia="仿宋" w:cs="仿宋"/>
          <w:snapToGrid/>
          <w:color w:val="auto"/>
          <w:kern w:val="2"/>
          <w:sz w:val="24"/>
          <w:szCs w:val="24"/>
          <w:lang w:val="en-US" w:eastAsia="zh-CN" w:bidi="ar-SA"/>
        </w:rPr>
      </w:pPr>
      <w:r>
        <w:rPr>
          <w:rFonts w:hint="eastAsia" w:ascii="仿宋" w:hAnsi="仿宋" w:eastAsia="仿宋" w:cs="仿宋"/>
          <w:b/>
          <w:bCs/>
          <w:color w:val="auto"/>
          <w:sz w:val="24"/>
        </w:rPr>
        <w:t>合同履约期限：</w:t>
      </w:r>
      <w:r>
        <w:rPr>
          <w:rFonts w:hint="eastAsia" w:ascii="仿宋" w:hAnsi="仿宋" w:eastAsia="仿宋" w:cs="仿宋"/>
          <w:snapToGrid/>
          <w:color w:val="auto"/>
          <w:kern w:val="2"/>
          <w:sz w:val="24"/>
          <w:szCs w:val="24"/>
          <w:lang w:val="zh-CN" w:eastAsia="zh-CN"/>
        </w:rPr>
        <w:t>合同签订之日起</w:t>
      </w:r>
      <w:r>
        <w:rPr>
          <w:rFonts w:hint="eastAsia" w:ascii="仿宋" w:hAnsi="仿宋" w:eastAsia="仿宋" w:cs="仿宋"/>
          <w:snapToGrid/>
          <w:color w:val="auto"/>
          <w:kern w:val="2"/>
          <w:sz w:val="24"/>
          <w:szCs w:val="24"/>
          <w:lang w:val="en-US" w:eastAsia="zh-CN"/>
        </w:rPr>
        <w:t>100</w:t>
      </w:r>
      <w:r>
        <w:rPr>
          <w:rFonts w:hint="eastAsia" w:ascii="仿宋" w:hAnsi="仿宋" w:eastAsia="仿宋" w:cs="仿宋"/>
          <w:snapToGrid/>
          <w:color w:val="auto"/>
          <w:kern w:val="2"/>
          <w:sz w:val="24"/>
          <w:szCs w:val="24"/>
          <w:lang w:val="zh-CN" w:eastAsia="zh-CN"/>
        </w:rPr>
        <w:t>日历天内完成船艇设计、报批、建造、配套安装、交货、试航及验收，并且提供船舶检验证书和其他应提供的相关材料</w:t>
      </w:r>
      <w:r>
        <w:rPr>
          <w:rFonts w:hint="eastAsia" w:ascii="仿宋" w:hAnsi="仿宋" w:eastAsia="仿宋" w:cs="仿宋"/>
          <w:snapToGrid/>
          <w:color w:val="auto"/>
          <w:kern w:val="2"/>
          <w:sz w:val="24"/>
          <w:szCs w:val="24"/>
          <w:lang w:val="en-US" w:eastAsia="zh-CN"/>
        </w:rPr>
        <w:t>。</w:t>
      </w:r>
    </w:p>
    <w:p>
      <w:pPr>
        <w:pStyle w:val="8"/>
        <w:spacing w:line="360" w:lineRule="auto"/>
        <w:ind w:firstLine="480"/>
        <w:rPr>
          <w:rFonts w:hint="eastAsia" w:ascii="仿宋" w:hAnsi="仿宋" w:eastAsia="仿宋" w:cs="仿宋"/>
          <w:color w:val="auto"/>
          <w:kern w:val="0"/>
          <w:sz w:val="24"/>
        </w:rPr>
      </w:pPr>
      <w:r>
        <w:rPr>
          <w:rFonts w:hint="eastAsia" w:ascii="仿宋" w:hAnsi="仿宋" w:eastAsia="仿宋" w:cs="仿宋"/>
          <w:b/>
          <w:color w:val="auto"/>
          <w:sz w:val="24"/>
        </w:rPr>
        <w:t>本项目接受联合体投标：</w:t>
      </w:r>
      <w:sdt>
        <w:sdtPr>
          <w:rPr>
            <w:rFonts w:hint="eastAsia" w:ascii="仿宋" w:hAnsi="仿宋" w:eastAsia="仿宋" w:cs="仿宋"/>
            <w:color w:val="auto"/>
            <w:kern w:val="0"/>
            <w:sz w:val="24"/>
          </w:rPr>
          <w:id w:val="2035453831"/>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00A8"/>
          </w:r>
        </w:sdtContent>
      </w:sdt>
      <w:r>
        <w:rPr>
          <w:rFonts w:hint="eastAsia" w:ascii="仿宋" w:hAnsi="仿宋" w:eastAsia="仿宋" w:cs="仿宋"/>
          <w:b/>
          <w:color w:val="auto"/>
          <w:sz w:val="24"/>
        </w:rPr>
        <w:t>是</w:t>
      </w:r>
      <w:r>
        <w:rPr>
          <w:rFonts w:hint="eastAsia" w:ascii="仿宋" w:hAnsi="仿宋" w:eastAsia="仿宋" w:cs="仿宋"/>
          <w:b/>
          <w:snapToGrid/>
          <w:color w:val="auto"/>
          <w:kern w:val="2"/>
          <w:sz w:val="24"/>
        </w:rPr>
        <w:t>；</w:t>
      </w:r>
      <w:sdt>
        <w:sdtPr>
          <w:rPr>
            <w:rFonts w:hint="eastAsia" w:ascii="仿宋" w:hAnsi="仿宋" w:eastAsia="仿宋" w:cs="仿宋"/>
            <w:color w:val="auto"/>
            <w:kern w:val="0"/>
            <w:sz w:val="24"/>
          </w:rPr>
          <w:id w:val="2035453831"/>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00FE"/>
          </w:r>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numPr>
          <w:ilvl w:val="0"/>
          <w:numId w:val="1"/>
        </w:numPr>
        <w:spacing w:line="360" w:lineRule="auto"/>
        <w:rPr>
          <w:rFonts w:hint="eastAsia" w:ascii="仿宋" w:hAnsi="仿宋" w:eastAsia="仿宋" w:cs="仿宋"/>
          <w:b/>
          <w:color w:val="auto"/>
          <w:sz w:val="24"/>
        </w:rPr>
      </w:pPr>
      <w:bookmarkStart w:id="10" w:name="_Hlk101132948"/>
      <w:r>
        <w:rPr>
          <w:rFonts w:hint="eastAsia" w:ascii="仿宋" w:hAnsi="仿宋" w:eastAsia="仿宋" w:cs="仿宋"/>
          <w:b/>
          <w:color w:val="auto"/>
          <w:sz w:val="24"/>
        </w:rPr>
        <w:t>申请人的资格要求</w:t>
      </w:r>
      <w:bookmarkEnd w:id="10"/>
      <w:r>
        <w:rPr>
          <w:rFonts w:hint="eastAsia" w:ascii="仿宋" w:hAnsi="仿宋" w:eastAsia="仿宋" w:cs="仿宋"/>
          <w:b/>
          <w:color w:val="auto"/>
          <w:sz w:val="24"/>
        </w:rPr>
        <w:t>：</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具有独立承担民事责任的能力；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2、具有良好的商业信誉和健全的财务会计制度；</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3、具有履行合同所必需的设备和专业技术能力；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4、有依法缴纳税收和社会保障资金的良好记录；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w:t>
      </w:r>
      <w:r>
        <w:rPr>
          <w:rFonts w:hint="eastAsia" w:ascii="仿宋" w:hAnsi="仿宋" w:eastAsia="仿宋" w:cs="仿宋"/>
          <w:color w:val="auto"/>
          <w:sz w:val="24"/>
          <w:lang w:val="zh-CN"/>
        </w:rPr>
        <w:t>参加采购活动前三年内，在经营活动中没有重大违法记录（包括在本平台交易中无串标、提供虚假资料等记录）</w:t>
      </w:r>
      <w:r>
        <w:rPr>
          <w:rFonts w:hint="eastAsia" w:ascii="仿宋" w:hAnsi="仿宋" w:eastAsia="仿宋" w:cs="仿宋"/>
          <w:color w:val="auto"/>
          <w:sz w:val="24"/>
        </w:rPr>
        <w:t>；</w:t>
      </w:r>
    </w:p>
    <w:p>
      <w:pPr>
        <w:snapToGrid w:val="0"/>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6、未被“信用中国”（www.creditchina.gov.cn)、中国政府采购网（www.ccgp.gov.cn）列入失信被执行人、重大税收违法案件当事人名单、政府采购严重违法失信行为记录名单；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7、法律、行政法规规定的其他条件；</w:t>
      </w:r>
    </w:p>
    <w:p>
      <w:pPr>
        <w:snapToGrid w:val="0"/>
        <w:spacing w:line="360" w:lineRule="auto"/>
        <w:ind w:firstLine="482" w:firstLineChars="200"/>
        <w:rPr>
          <w:rFonts w:hint="eastAsia" w:ascii="仿宋" w:hAnsi="仿宋" w:eastAsia="仿宋" w:cs="仿宋"/>
          <w:color w:val="auto"/>
          <w:sz w:val="24"/>
          <w:u w:val="single"/>
          <w:lang w:val="en-US" w:eastAsia="zh-CN"/>
        </w:rPr>
      </w:pPr>
      <w:r>
        <w:rPr>
          <w:rFonts w:hint="eastAsia" w:ascii="仿宋" w:hAnsi="仿宋" w:eastAsia="仿宋" w:cs="仿宋"/>
          <w:b/>
          <w:bCs/>
          <w:color w:val="auto"/>
          <w:sz w:val="24"/>
          <w:lang w:val="en-US" w:eastAsia="zh-CN"/>
        </w:rPr>
        <w:t>8、本项目的特定资格要求：</w:t>
      </w:r>
      <w:sdt>
        <w:sdtPr>
          <w:rPr>
            <w:rFonts w:hint="eastAsia" w:ascii="仿宋" w:hAnsi="仿宋" w:eastAsia="仿宋" w:cs="仿宋"/>
            <w:b/>
            <w:bCs/>
            <w:color w:val="auto"/>
            <w:sz w:val="24"/>
            <w:lang w:val="en-US" w:eastAsia="zh-CN"/>
          </w:rPr>
          <w:id w:val="2035453831"/>
        </w:sdtPr>
        <w:sdtEndPr>
          <w:rPr>
            <w:rFonts w:hint="eastAsia" w:ascii="仿宋" w:hAnsi="仿宋" w:eastAsia="仿宋" w:cs="仿宋"/>
            <w:b/>
            <w:bCs/>
            <w:color w:val="auto"/>
            <w:sz w:val="24"/>
            <w:lang w:val="en-US" w:eastAsia="zh-CN"/>
          </w:rPr>
        </w:sdtEndPr>
        <w:sdtContent>
          <w:r>
            <w:rPr>
              <w:rFonts w:hint="eastAsia" w:ascii="仿宋" w:hAnsi="仿宋" w:eastAsia="仿宋" w:cs="仿宋"/>
              <w:b/>
              <w:bCs/>
              <w:color w:val="auto"/>
              <w:sz w:val="24"/>
              <w:lang w:val="en-US" w:eastAsia="zh-CN"/>
            </w:rPr>
            <w:sym w:font="Wingdings" w:char="00A8"/>
          </w:r>
        </w:sdtContent>
      </w:sdt>
      <w:r>
        <w:rPr>
          <w:rFonts w:hint="eastAsia" w:ascii="仿宋" w:hAnsi="仿宋" w:eastAsia="仿宋" w:cs="仿宋"/>
          <w:b/>
          <w:bCs/>
          <w:color w:val="auto"/>
          <w:sz w:val="24"/>
          <w:lang w:val="en-US" w:eastAsia="zh-CN"/>
        </w:rPr>
        <w:t>无；</w:t>
      </w:r>
      <w:sdt>
        <w:sdtPr>
          <w:rPr>
            <w:rFonts w:hint="eastAsia" w:ascii="仿宋" w:hAnsi="仿宋" w:eastAsia="仿宋" w:cs="仿宋"/>
            <w:b/>
            <w:bCs/>
            <w:color w:val="auto"/>
            <w:sz w:val="24"/>
            <w:lang w:val="en-US" w:eastAsia="zh-CN"/>
          </w:rPr>
          <w:id w:val="2035453831"/>
        </w:sdtPr>
        <w:sdtEndPr>
          <w:rPr>
            <w:rFonts w:hint="eastAsia" w:ascii="仿宋" w:hAnsi="仿宋" w:eastAsia="仿宋" w:cs="仿宋"/>
            <w:b/>
            <w:bCs/>
            <w:color w:val="auto"/>
            <w:sz w:val="24"/>
            <w:lang w:val="en-US" w:eastAsia="zh-CN"/>
          </w:rPr>
        </w:sdtEndPr>
        <w:sdtContent>
          <w:r>
            <w:rPr>
              <w:rFonts w:hint="eastAsia" w:ascii="仿宋" w:hAnsi="仿宋" w:eastAsia="仿宋" w:cs="仿宋"/>
              <w:b/>
              <w:bCs/>
              <w:color w:val="auto"/>
              <w:sz w:val="24"/>
              <w:lang w:val="en-US" w:eastAsia="zh-CN"/>
            </w:rPr>
            <w:sym w:font="Wingdings" w:char="00FE"/>
          </w:r>
        </w:sdtContent>
      </w:sdt>
      <w:r>
        <w:rPr>
          <w:rFonts w:hint="eastAsia" w:ascii="仿宋" w:hAnsi="仿宋" w:eastAsia="仿宋" w:cs="仿宋"/>
          <w:b/>
          <w:bCs/>
          <w:color w:val="auto"/>
          <w:sz w:val="24"/>
          <w:lang w:val="en-US" w:eastAsia="zh-CN"/>
        </w:rPr>
        <w:t>有</w:t>
      </w:r>
      <w:r>
        <w:rPr>
          <w:rFonts w:hint="eastAsia" w:ascii="仿宋" w:hAnsi="仿宋" w:eastAsia="仿宋" w:cs="仿宋"/>
          <w:b w:val="0"/>
          <w:bCs w:val="0"/>
          <w:color w:val="auto"/>
          <w:sz w:val="24"/>
          <w:u w:val="single"/>
          <w:lang w:val="en-US" w:eastAsia="zh-CN"/>
        </w:rPr>
        <w:t xml:space="preserve">投标人具备纤维增强塑料船舶建造资质或当地海事主管机关部门颁发的符合本项目等级船舶生产能力证明文件（提供资质证书副本复印件并加盖公章）  </w:t>
      </w:r>
    </w:p>
    <w:p>
      <w:pPr>
        <w:snapToGrid w:val="0"/>
        <w:spacing w:line="360" w:lineRule="auto"/>
        <w:ind w:firstLine="480" w:firstLineChars="200"/>
        <w:rPr>
          <w:rFonts w:hint="eastAsia" w:ascii="仿宋" w:hAnsi="仿宋" w:eastAsia="仿宋" w:cs="仿宋"/>
          <w:snapToGrid w:val="0"/>
          <w:color w:val="auto"/>
          <w:kern w:val="28"/>
          <w:sz w:val="24"/>
          <w:szCs w:val="20"/>
        </w:rPr>
      </w:pPr>
      <w:r>
        <w:rPr>
          <w:rFonts w:hint="eastAsia" w:ascii="仿宋" w:hAnsi="仿宋" w:eastAsia="仿宋" w:cs="仿宋"/>
          <w:color w:val="auto"/>
          <w:sz w:val="24"/>
          <w:lang w:val="en-US" w:eastAsia="zh-CN"/>
        </w:rPr>
        <w:t>9</w:t>
      </w:r>
      <w:r>
        <w:rPr>
          <w:rFonts w:hint="eastAsia" w:ascii="仿宋" w:hAnsi="仿宋" w:eastAsia="仿宋" w:cs="仿宋"/>
          <w:color w:val="auto"/>
          <w:sz w:val="24"/>
          <w:lang w:eastAsia="zh-CN"/>
        </w:rPr>
        <w:t>、</w:t>
      </w:r>
      <w:r>
        <w:rPr>
          <w:rFonts w:hint="eastAsia" w:ascii="仿宋" w:hAnsi="仿宋" w:eastAsia="仿宋" w:cs="仿宋"/>
          <w:color w:val="auto"/>
          <w:sz w:val="24"/>
        </w:rPr>
        <w:t>以联合体形式投标的，提供联合协议(本项目不接受联合体投标或者投标人不以</w:t>
      </w:r>
      <w:r>
        <w:rPr>
          <w:rFonts w:hint="eastAsia" w:ascii="仿宋" w:hAnsi="仿宋" w:eastAsia="仿宋" w:cs="仿宋"/>
          <w:snapToGrid w:val="0"/>
          <w:color w:val="auto"/>
          <w:kern w:val="28"/>
          <w:sz w:val="24"/>
          <w:szCs w:val="20"/>
        </w:rPr>
        <w:t>联合体形式投标的，则不需要提供) ；</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10</w:t>
      </w:r>
      <w:r>
        <w:rPr>
          <w:rFonts w:hint="eastAsia" w:ascii="仿宋" w:hAnsi="仿宋" w:eastAsia="仿宋" w:cs="仿宋"/>
          <w:color w:val="auto"/>
          <w:sz w:val="24"/>
          <w:lang w:eastAsia="zh-CN"/>
        </w:rPr>
        <w:t>、</w:t>
      </w:r>
      <w:r>
        <w:rPr>
          <w:rFonts w:hint="eastAsia" w:ascii="仿宋" w:hAnsi="仿宋" w:eastAsia="仿宋" w:cs="仿宋"/>
          <w:color w:val="auto"/>
          <w:sz w:val="24"/>
        </w:rPr>
        <w:t>单位负责人为同一人或者存在直接控股、管理关系的不同供应商，不得参加同一合同项下的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 xml:space="preserve">三、获取招标文件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时间：</w:t>
      </w:r>
      <w:r>
        <w:rPr>
          <w:rFonts w:hint="eastAsia" w:ascii="仿宋" w:hAnsi="仿宋" w:eastAsia="仿宋" w:cs="仿宋"/>
          <w:color w:val="auto"/>
          <w:sz w:val="24"/>
        </w:rPr>
        <w:t>/至</w:t>
      </w:r>
      <w:r>
        <w:rPr>
          <w:rFonts w:hint="eastAsia" w:ascii="仿宋" w:hAnsi="仿宋" w:eastAsia="仿宋" w:cs="仿宋"/>
          <w:color w:val="auto"/>
          <w:sz w:val="24"/>
          <w:u w:val="single"/>
        </w:rPr>
        <w:t>2023年</w:t>
      </w:r>
      <w:r>
        <w:rPr>
          <w:rFonts w:hint="eastAsia" w:ascii="仿宋" w:hAnsi="仿宋" w:eastAsia="仿宋" w:cs="仿宋"/>
          <w:color w:val="auto"/>
          <w:sz w:val="24"/>
          <w:u w:val="single"/>
          <w:lang w:val="en-US" w:eastAsia="zh-CN"/>
        </w:rPr>
        <w:t>09</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26</w:t>
      </w:r>
      <w:r>
        <w:rPr>
          <w:rFonts w:hint="eastAsia" w:ascii="仿宋" w:hAnsi="仿宋" w:eastAsia="仿宋" w:cs="仿宋"/>
          <w:color w:val="auto"/>
          <w:sz w:val="24"/>
          <w:u w:val="single"/>
        </w:rPr>
        <w:t>日</w:t>
      </w:r>
      <w:r>
        <w:rPr>
          <w:rFonts w:hint="eastAsia" w:ascii="仿宋" w:hAnsi="仿宋" w:eastAsia="仿宋" w:cs="仿宋"/>
          <w:color w:val="auto"/>
          <w:sz w:val="24"/>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b/>
          <w:color w:val="auto"/>
          <w:sz w:val="24"/>
          <w:highlight w:val="none"/>
          <w:lang w:eastAsia="zh-CN"/>
        </w:rPr>
        <w:t>乐</w:t>
      </w:r>
      <w:r>
        <w:rPr>
          <w:rFonts w:hint="eastAsia" w:ascii="仿宋" w:hAnsi="仿宋" w:eastAsia="仿宋" w:cs="仿宋"/>
          <w:color w:val="auto"/>
          <w:sz w:val="24"/>
          <w:highlight w:val="none"/>
        </w:rPr>
        <w:t>采云平台（</w:t>
      </w:r>
      <w:r>
        <w:rPr>
          <w:rStyle w:val="76"/>
          <w:rFonts w:hint="eastAsia" w:ascii="仿宋" w:hAnsi="仿宋" w:eastAsia="仿宋" w:cs="仿宋"/>
          <w:snapToGrid/>
          <w:color w:val="auto"/>
          <w:kern w:val="2"/>
          <w:sz w:val="24"/>
          <w:szCs w:val="24"/>
          <w:highlight w:val="none"/>
          <w:lang w:val="en-US" w:eastAsia="zh-CN"/>
        </w:rPr>
        <w:t>www.lecaiyun.com/</w:t>
      </w:r>
      <w:r>
        <w:rPr>
          <w:rFonts w:hint="eastAsia" w:ascii="仿宋" w:hAnsi="仿宋" w:eastAsia="仿宋" w:cs="仿宋"/>
          <w:color w:val="auto"/>
          <w:sz w:val="24"/>
          <w:highlight w:val="none"/>
        </w:rPr>
        <w:t xml:space="preserve">）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供应商登录</w:t>
      </w:r>
      <w:r>
        <w:rPr>
          <w:rFonts w:hint="eastAsia" w:ascii="仿宋" w:hAnsi="仿宋" w:eastAsia="仿宋" w:cs="仿宋"/>
          <w:color w:val="auto"/>
          <w:sz w:val="24"/>
          <w:highlight w:val="none"/>
          <w:lang w:eastAsia="zh-CN"/>
        </w:rPr>
        <w:t>乐</w:t>
      </w:r>
      <w:r>
        <w:rPr>
          <w:rFonts w:hint="eastAsia" w:ascii="仿宋" w:hAnsi="仿宋" w:eastAsia="仿宋" w:cs="仿宋"/>
          <w:color w:val="auto"/>
          <w:sz w:val="24"/>
          <w:highlight w:val="none"/>
        </w:rPr>
        <w:t>采云平台</w:t>
      </w:r>
      <w:r>
        <w:rPr>
          <w:rStyle w:val="76"/>
          <w:rFonts w:hint="eastAsia" w:ascii="仿宋" w:hAnsi="仿宋" w:eastAsia="仿宋" w:cs="仿宋"/>
          <w:snapToGrid/>
          <w:color w:val="auto"/>
          <w:kern w:val="2"/>
          <w:sz w:val="24"/>
          <w:szCs w:val="24"/>
          <w:highlight w:val="none"/>
          <w:lang w:val="en-US" w:eastAsia="zh-CN"/>
        </w:rPr>
        <w:t>www.lecaiyun.com</w:t>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HYPERLINK "http://www.qdh.gov.cn/ggzyjyw/index.html_x0005_在线申请获取采购文件（进入\“项目采购\”应用，在获取采购文件菜单中选择项目，申请获取采购文件）。" </w:instrText>
      </w:r>
      <w:r>
        <w:rPr>
          <w:rFonts w:hint="eastAsia" w:ascii="仿宋" w:hAnsi="仿宋" w:eastAsia="仿宋" w:cs="仿宋"/>
          <w:color w:val="auto"/>
          <w:sz w:val="24"/>
          <w:highlight w:val="none"/>
        </w:rPr>
        <w:fldChar w:fldCharType="separate"/>
      </w:r>
      <w:r>
        <w:rPr>
          <w:rFonts w:hint="eastAsia" w:ascii="仿宋" w:hAnsi="仿宋" w:eastAsia="仿宋" w:cs="仿宋"/>
          <w:b/>
          <w:bCs/>
          <w:color w:val="auto"/>
          <w:sz w:val="24"/>
        </w:rPr>
        <w:t>在线申请获取采购文件（进入“项目采购”应用，在获取采购文件菜单中选择项目，申请获取采购文件）</w:t>
      </w:r>
      <w:r>
        <w:rPr>
          <w:rStyle w:val="76"/>
          <w:rFonts w:hint="eastAsia" w:ascii="仿宋" w:hAnsi="仿宋" w:eastAsia="仿宋" w:cs="仿宋"/>
          <w:color w:val="auto"/>
          <w:sz w:val="24"/>
          <w:highlight w:val="none"/>
        </w:rPr>
        <w:t>。</w:t>
      </w:r>
      <w:r>
        <w:rPr>
          <w:rFonts w:hint="eastAsia" w:ascii="仿宋" w:hAnsi="仿宋" w:eastAsia="仿宋" w:cs="仿宋"/>
          <w:color w:val="auto"/>
          <w:sz w:val="24"/>
          <w:highlight w:val="none"/>
        </w:rPr>
        <w:fldChar w:fldCharType="end"/>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售价（元）：</w:t>
      </w:r>
      <w:r>
        <w:rPr>
          <w:rFonts w:hint="eastAsia" w:ascii="仿宋" w:hAnsi="仿宋" w:eastAsia="仿宋" w:cs="仿宋"/>
          <w:color w:val="auto"/>
          <w:sz w:val="24"/>
        </w:rPr>
        <w:t xml:space="preserve">0 </w:t>
      </w:r>
      <w:r>
        <w:rPr>
          <w:rFonts w:hint="eastAsia" w:ascii="仿宋" w:hAnsi="仿宋" w:eastAsia="仿宋" w:cs="仿宋"/>
          <w:color w:val="auto"/>
          <w:sz w:val="24"/>
        </w:rPr>
        <w:tab/>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四、提交投标文件截止时间、开标时间和地点</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提交投标文件截止时间：</w:t>
      </w:r>
      <w:r>
        <w:rPr>
          <w:rFonts w:hint="eastAsia" w:ascii="仿宋" w:hAnsi="仿宋" w:eastAsia="仿宋" w:cs="仿宋"/>
          <w:color w:val="auto"/>
          <w:sz w:val="24"/>
          <w:u w:val="single"/>
        </w:rPr>
        <w:t xml:space="preserve"> 2023年</w:t>
      </w:r>
      <w:r>
        <w:rPr>
          <w:rFonts w:hint="eastAsia" w:ascii="仿宋" w:hAnsi="仿宋" w:eastAsia="仿宋" w:cs="仿宋"/>
          <w:color w:val="auto"/>
          <w:sz w:val="24"/>
          <w:u w:val="single"/>
          <w:lang w:val="en-US" w:eastAsia="zh-CN"/>
        </w:rPr>
        <w:t>09</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26</w:t>
      </w:r>
      <w:r>
        <w:rPr>
          <w:rFonts w:hint="eastAsia" w:ascii="仿宋" w:hAnsi="仿宋" w:eastAsia="仿宋" w:cs="仿宋"/>
          <w:color w:val="auto"/>
          <w:sz w:val="24"/>
          <w:u w:val="single"/>
        </w:rPr>
        <w:t>日09点30分00秒</w:t>
      </w:r>
      <w:r>
        <w:rPr>
          <w:rFonts w:hint="eastAsia" w:ascii="仿宋" w:hAnsi="仿宋" w:eastAsia="仿宋" w:cs="仿宋"/>
          <w:color w:val="auto"/>
          <w:sz w:val="24"/>
        </w:rPr>
        <w:t>（北京时间）</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rPr>
        <w:t>投标地点（网址）：</w:t>
      </w:r>
      <w:r>
        <w:rPr>
          <w:rFonts w:hint="eastAsia" w:ascii="仿宋" w:hAnsi="仿宋" w:eastAsia="仿宋" w:cs="仿宋"/>
          <w:color w:val="auto"/>
          <w:sz w:val="24"/>
          <w:lang w:eastAsia="zh-CN"/>
        </w:rPr>
        <w:t>乐</w:t>
      </w:r>
      <w:r>
        <w:rPr>
          <w:rFonts w:hint="eastAsia" w:ascii="仿宋" w:hAnsi="仿宋" w:eastAsia="仿宋" w:cs="仿宋"/>
          <w:color w:val="auto"/>
          <w:sz w:val="24"/>
        </w:rPr>
        <w:t>采云平台</w:t>
      </w:r>
      <w:r>
        <w:rPr>
          <w:rFonts w:hint="eastAsia" w:ascii="仿宋" w:hAnsi="仿宋" w:eastAsia="仿宋" w:cs="仿宋"/>
          <w:color w:val="auto"/>
          <w:sz w:val="24"/>
          <w:highlight w:val="none"/>
        </w:rPr>
        <w:t>（</w:t>
      </w:r>
      <w:r>
        <w:rPr>
          <w:rStyle w:val="76"/>
          <w:rFonts w:hint="eastAsia" w:ascii="仿宋" w:hAnsi="仿宋" w:eastAsia="仿宋" w:cs="仿宋"/>
          <w:snapToGrid/>
          <w:color w:val="auto"/>
          <w:kern w:val="2"/>
          <w:sz w:val="24"/>
          <w:szCs w:val="24"/>
          <w:highlight w:val="none"/>
          <w:lang w:val="en-US" w:eastAsia="zh-CN"/>
        </w:rPr>
        <w:t>www.lecaiyun.com</w:t>
      </w:r>
      <w:r>
        <w:rPr>
          <w:rFonts w:hint="eastAsia" w:ascii="仿宋" w:hAnsi="仿宋" w:eastAsia="仿宋" w:cs="仿宋"/>
          <w:color w:val="auto"/>
          <w:sz w:val="24"/>
          <w:highlight w:val="none"/>
        </w:rPr>
        <w:t xml:space="preserve">） </w:t>
      </w:r>
    </w:p>
    <w:p>
      <w:pPr>
        <w:spacing w:line="360" w:lineRule="auto"/>
        <w:ind w:firstLine="482" w:firstLineChars="200"/>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2023年</w:t>
      </w:r>
      <w:r>
        <w:rPr>
          <w:rFonts w:hint="eastAsia" w:ascii="仿宋" w:hAnsi="仿宋" w:eastAsia="仿宋" w:cs="仿宋"/>
          <w:color w:val="auto"/>
          <w:sz w:val="24"/>
          <w:highlight w:val="none"/>
          <w:u w:val="single"/>
          <w:lang w:val="en-US" w:eastAsia="zh-CN"/>
        </w:rPr>
        <w:t>09</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26</w:t>
      </w:r>
      <w:r>
        <w:rPr>
          <w:rFonts w:hint="eastAsia" w:ascii="仿宋" w:hAnsi="仿宋" w:eastAsia="仿宋" w:cs="仿宋"/>
          <w:color w:val="auto"/>
          <w:sz w:val="24"/>
          <w:highlight w:val="none"/>
          <w:u w:val="single"/>
        </w:rPr>
        <w:t>日09 点 30分00秒</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lang w:val="zh-CN"/>
        </w:rPr>
        <w:t>“乐采云平台（</w:t>
      </w:r>
      <w:r>
        <w:rPr>
          <w:rStyle w:val="76"/>
          <w:rFonts w:hint="eastAsia" w:ascii="仿宋" w:hAnsi="仿宋" w:eastAsia="仿宋" w:cs="仿宋"/>
          <w:snapToGrid/>
          <w:color w:val="auto"/>
          <w:kern w:val="2"/>
          <w:sz w:val="24"/>
          <w:szCs w:val="24"/>
          <w:highlight w:val="none"/>
          <w:lang w:val="en-US" w:eastAsia="zh-CN"/>
        </w:rPr>
        <w:t>www.lecaiyun.com</w:t>
      </w:r>
      <w:r>
        <w:rPr>
          <w:rFonts w:hint="eastAsia" w:ascii="仿宋" w:hAnsi="仿宋" w:eastAsia="仿宋" w:cs="仿宋"/>
          <w:color w:val="auto"/>
          <w:sz w:val="24"/>
          <w:highlight w:val="none"/>
          <w:lang w:val="zh-CN"/>
        </w:rPr>
        <w:t>）”实行在线开标响应。</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highlight w:val="none"/>
        </w:rPr>
        <w:t xml:space="preserve"> 1. </w:t>
      </w:r>
      <w:r>
        <w:rPr>
          <w:rFonts w:hint="eastAsia" w:ascii="仿宋" w:hAnsi="仿宋" w:eastAsia="仿宋" w:cs="仿宋"/>
          <w:color w:val="auto"/>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w:t>
      </w:r>
      <w:r>
        <w:rPr>
          <w:rFonts w:hint="eastAsia" w:ascii="仿宋" w:hAnsi="仿宋" w:eastAsia="仿宋" w:cs="仿宋"/>
          <w:color w:val="auto"/>
          <w:sz w:val="24"/>
          <w:highlight w:val="none"/>
          <w:lang w:eastAsia="zh-CN"/>
        </w:rPr>
        <w:t>业主单位的纪检监察</w:t>
      </w:r>
      <w:r>
        <w:rPr>
          <w:rFonts w:hint="eastAsia" w:ascii="仿宋" w:hAnsi="仿宋" w:eastAsia="仿宋" w:cs="仿宋"/>
          <w:color w:val="auto"/>
          <w:sz w:val="24"/>
          <w:highlight w:val="none"/>
        </w:rPr>
        <w:t>部门投诉</w:t>
      </w:r>
      <w:r>
        <w:rPr>
          <w:rFonts w:hint="eastAsia" w:ascii="仿宋" w:hAnsi="仿宋" w:eastAsia="仿宋" w:cs="仿宋"/>
          <w:color w:val="auto"/>
          <w:sz w:val="24"/>
        </w:rPr>
        <w:t>。质疑函范本、投诉书范本请到浙江政府采购网下载专区下载。</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.其他事项：（</w:t>
      </w:r>
      <w:r>
        <w:rPr>
          <w:rFonts w:hint="eastAsia" w:ascii="仿宋" w:hAnsi="仿宋" w:eastAsia="仿宋" w:cs="仿宋"/>
          <w:color w:val="auto"/>
          <w:sz w:val="24"/>
          <w:lang w:val="en-US" w:eastAsia="zh-CN"/>
        </w:rPr>
        <w:t>1</w:t>
      </w:r>
      <w:r>
        <w:rPr>
          <w:rFonts w:hint="eastAsia" w:ascii="仿宋" w:hAnsi="仿宋" w:eastAsia="仿宋" w:cs="仿宋"/>
          <w:color w:val="auto"/>
          <w:sz w:val="24"/>
        </w:rPr>
        <w:t>）电子招投标的说明：①电子招投标：本项目以数据电文形式，依托“</w:t>
      </w:r>
      <w:r>
        <w:rPr>
          <w:rFonts w:hint="eastAsia" w:ascii="仿宋" w:hAnsi="仿宋" w:eastAsia="仿宋" w:cs="仿宋"/>
          <w:color w:val="auto"/>
          <w:sz w:val="24"/>
          <w:highlight w:val="none"/>
          <w:lang w:eastAsia="zh-CN"/>
        </w:rPr>
        <w:t>乐</w:t>
      </w:r>
      <w:r>
        <w:rPr>
          <w:rFonts w:hint="eastAsia" w:ascii="仿宋" w:hAnsi="仿宋" w:eastAsia="仿宋" w:cs="仿宋"/>
          <w:color w:val="auto"/>
          <w:sz w:val="24"/>
          <w:highlight w:val="none"/>
        </w:rPr>
        <w:t>采云平台（www.</w:t>
      </w:r>
      <w:r>
        <w:rPr>
          <w:rFonts w:hint="eastAsia" w:ascii="仿宋" w:hAnsi="仿宋" w:eastAsia="仿宋" w:cs="仿宋"/>
          <w:color w:val="auto"/>
          <w:sz w:val="24"/>
          <w:highlight w:val="none"/>
          <w:lang w:val="en-US" w:eastAsia="zh-CN"/>
        </w:rPr>
        <w:t>lecaiyun.com</w:t>
      </w:r>
      <w:r>
        <w:rPr>
          <w:rFonts w:hint="eastAsia" w:ascii="仿宋" w:hAnsi="仿宋" w:eastAsia="仿宋" w:cs="仿宋"/>
          <w:color w:val="auto"/>
          <w:sz w:val="24"/>
          <w:highlight w:val="none"/>
        </w:rPr>
        <w:t>）”进行招投标活动，不接受纸质投标文件；②投标准备：注册账号--点击“</w:t>
      </w:r>
      <w:r>
        <w:rPr>
          <w:rFonts w:hint="eastAsia" w:ascii="仿宋" w:hAnsi="仿宋" w:eastAsia="仿宋" w:cs="仿宋"/>
          <w:color w:val="auto"/>
          <w:sz w:val="24"/>
          <w:highlight w:val="none"/>
          <w:lang w:val="en-US" w:eastAsia="zh-CN"/>
        </w:rPr>
        <w:t>商家注册（https://middle.lecaiyun.com/v-settle-front/enter/accountNew?settleCategory=1&amp;entranceType=150&amp;utm=luban.luban-PC-3677.ct001.10.cfc25940300e11eea83497f4ab63b17d</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，进行供应商资料填写；申领CA数字证书---申领流程详见“浙江政府采购网-下载专区-电子交易客户端-CA驱动和申领流程”</w:t>
      </w:r>
      <w:r>
        <w:rPr>
          <w:rFonts w:hint="eastAsia" w:ascii="仿宋" w:hAnsi="仿宋" w:eastAsia="仿宋" w:cs="仿宋"/>
          <w:color w:val="auto"/>
          <w:sz w:val="24"/>
          <w:highlight w:val="none"/>
          <w:lang w:eastAsia="zh-CN"/>
        </w:rPr>
        <w:t>（https://zfcg.czt.zj.gov.cn/luban/detail?parentId=600030&amp;articleId=8usMobfHBXp2GJnjOIZ0EA%3D%3D&amp;utm=luban.luban-PC-37000.979-pc-websitegroup-zhejiang-secondPage-front.3.01412d50301111eea4a9272df37c6142）</w:t>
      </w:r>
      <w:r>
        <w:rPr>
          <w:rFonts w:hint="eastAsia" w:ascii="仿宋" w:hAnsi="仿宋" w:eastAsia="仿宋" w:cs="仿宋"/>
          <w:color w:val="auto"/>
          <w:sz w:val="24"/>
          <w:highlight w:val="none"/>
        </w:rPr>
        <w:t>；安装“</w:t>
      </w:r>
      <w:r>
        <w:rPr>
          <w:rFonts w:hint="eastAsia" w:ascii="仿宋" w:hAnsi="仿宋" w:eastAsia="仿宋" w:cs="仿宋"/>
          <w:color w:val="auto"/>
          <w:sz w:val="24"/>
          <w:highlight w:val="none"/>
          <w:lang w:val="en-US" w:eastAsia="zh-CN"/>
        </w:rPr>
        <w:t>乐采云</w:t>
      </w:r>
      <w:r>
        <w:rPr>
          <w:rFonts w:hint="eastAsia" w:ascii="仿宋" w:hAnsi="仿宋" w:eastAsia="仿宋" w:cs="仿宋"/>
          <w:color w:val="auto"/>
          <w:sz w:val="24"/>
          <w:highlight w:val="none"/>
        </w:rPr>
        <w:t>电子交易客户端”----前往“浙江企业采购信息服务网-</w:t>
      </w:r>
      <w:r>
        <w:rPr>
          <w:rFonts w:hint="eastAsia" w:ascii="仿宋" w:hAnsi="仿宋" w:eastAsia="仿宋" w:cs="仿宋"/>
          <w:color w:val="auto"/>
          <w:sz w:val="24"/>
          <w:highlight w:val="none"/>
          <w:lang w:val="en-US" w:eastAsia="zh-CN"/>
        </w:rPr>
        <w:t>在线下载</w:t>
      </w:r>
      <w:r>
        <w:rPr>
          <w:rFonts w:hint="eastAsia" w:ascii="仿宋" w:hAnsi="仿宋" w:eastAsia="仿宋" w:cs="仿宋"/>
          <w:color w:val="auto"/>
          <w:sz w:val="24"/>
          <w:highlight w:val="none"/>
        </w:rPr>
        <w:t>-电子交易客户端”进行下载安装</w:t>
      </w:r>
      <w:r>
        <w:rPr>
          <w:rFonts w:hint="eastAsia" w:ascii="仿宋" w:hAnsi="仿宋" w:eastAsia="仿宋" w:cs="仿宋"/>
          <w:color w:val="auto"/>
          <w:sz w:val="24"/>
          <w:highlight w:val="none"/>
          <w:lang w:eastAsia="zh-CN"/>
        </w:rPr>
        <w:t>（https://b.zhengcaiyun.cn/luban/category?parentId=550045&amp;childrenCode=qicaiCategory17&amp;utm=luban.luban-PC-39026.959-pc-websitegroup-navBar-front.8.233654f0300f11ee9e63571a3f42cf10，</w:t>
      </w:r>
      <w:r>
        <w:rPr>
          <w:rFonts w:hint="eastAsia" w:ascii="仿宋" w:hAnsi="仿宋" w:eastAsia="仿宋" w:cs="仿宋"/>
          <w:color w:val="auto"/>
          <w:sz w:val="24"/>
          <w:highlight w:val="none"/>
          <w:lang w:val="en-US" w:eastAsia="zh-CN"/>
        </w:rPr>
        <w:t>若已安装政采云电子交易客户端，无需重新安装乐采云电子交易客户端，乐采云和政采云电子交易客户端可通用</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；③招标文件的获取：使用账号登录或者使用CA登录</w:t>
      </w:r>
      <w:r>
        <w:rPr>
          <w:rFonts w:hint="eastAsia" w:ascii="仿宋" w:hAnsi="仿宋" w:eastAsia="仿宋" w:cs="仿宋"/>
          <w:color w:val="auto"/>
          <w:sz w:val="24"/>
          <w:highlight w:val="none"/>
          <w:lang w:val="en-US" w:eastAsia="zh-CN"/>
        </w:rPr>
        <w:t>乐采云</w:t>
      </w:r>
      <w:r>
        <w:rPr>
          <w:rFonts w:hint="eastAsia" w:ascii="仿宋" w:hAnsi="仿宋" w:eastAsia="仿宋" w:cs="仿宋"/>
          <w:color w:val="auto"/>
          <w:sz w:val="24"/>
          <w:highlight w:val="none"/>
        </w:rPr>
        <w:t>平台；进入“项目采购”应用，在获取采购文件菜单中选择项目，获取招标文件；④投标文件的制作：在“</w:t>
      </w:r>
      <w:r>
        <w:rPr>
          <w:rFonts w:hint="eastAsia" w:ascii="仿宋" w:hAnsi="仿宋" w:eastAsia="仿宋" w:cs="仿宋"/>
          <w:color w:val="auto"/>
          <w:sz w:val="24"/>
          <w:highlight w:val="none"/>
          <w:lang w:val="en-US" w:eastAsia="zh-CN"/>
        </w:rPr>
        <w:t>乐采云</w:t>
      </w:r>
      <w:r>
        <w:rPr>
          <w:rFonts w:hint="eastAsia" w:ascii="仿宋" w:hAnsi="仿宋" w:eastAsia="仿宋" w:cs="仿宋"/>
          <w:color w:val="auto"/>
          <w:sz w:val="24"/>
          <w:highlight w:val="none"/>
        </w:rPr>
        <w:t>电子交易客户端”中完成“填写基本信息”、“导入投标文件”、“标书关联”、“标书检查”、“电子签名”、“生成电子标书”等操作；</w:t>
      </w:r>
      <w:r>
        <w:rPr>
          <w:rFonts w:hint="eastAsia" w:ascii="仿宋" w:hAnsi="仿宋" w:eastAsia="仿宋" w:cs="仿宋"/>
          <w:color w:val="auto"/>
          <w:sz w:val="24"/>
        </w:rPr>
        <w:t>⑤采购人、采购代理机构将依托</w:t>
      </w:r>
      <w:r>
        <w:rPr>
          <w:rFonts w:hint="eastAsia" w:ascii="仿宋" w:hAnsi="仿宋" w:eastAsia="仿宋" w:cs="仿宋"/>
          <w:color w:val="auto"/>
          <w:sz w:val="24"/>
          <w:lang w:eastAsia="zh-CN"/>
        </w:rPr>
        <w:t>乐</w:t>
      </w:r>
      <w:r>
        <w:rPr>
          <w:rFonts w:hint="eastAsia" w:ascii="仿宋" w:hAnsi="仿宋" w:eastAsia="仿宋" w:cs="仿宋"/>
          <w:color w:val="auto"/>
          <w:sz w:val="24"/>
        </w:rPr>
        <w:t>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w:t>
      </w:r>
      <w:r>
        <w:rPr>
          <w:rFonts w:hint="eastAsia" w:ascii="仿宋" w:hAnsi="仿宋" w:eastAsia="仿宋" w:cs="仿宋"/>
          <w:color w:val="auto"/>
          <w:sz w:val="24"/>
          <w:highlight w:val="none"/>
          <w:lang w:eastAsia="zh-CN"/>
        </w:rPr>
        <w:t>乐</w:t>
      </w:r>
      <w:r>
        <w:rPr>
          <w:rFonts w:hint="eastAsia" w:ascii="仿宋" w:hAnsi="仿宋" w:eastAsia="仿宋" w:cs="仿宋"/>
          <w:color w:val="auto"/>
          <w:sz w:val="24"/>
          <w:highlight w:val="none"/>
        </w:rPr>
        <w:t>采云平台</w:t>
      </w:r>
      <w:r>
        <w:rPr>
          <w:rFonts w:hint="eastAsia" w:ascii="仿宋" w:hAnsi="仿宋" w:eastAsia="仿宋" w:cs="仿宋"/>
          <w:color w:val="auto"/>
          <w:sz w:val="24"/>
        </w:rPr>
        <w:t>，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w:t>
      </w:r>
      <w:r>
        <w:rPr>
          <w:rFonts w:hint="eastAsia" w:ascii="仿宋" w:hAnsi="仿宋" w:eastAsia="仿宋" w:cs="仿宋"/>
          <w:color w:val="auto"/>
          <w:sz w:val="24"/>
          <w:highlight w:val="none"/>
          <w:lang w:eastAsia="zh-CN"/>
        </w:rPr>
        <w:t>乐</w:t>
      </w:r>
      <w:r>
        <w:rPr>
          <w:rFonts w:hint="eastAsia" w:ascii="仿宋" w:hAnsi="仿宋" w:eastAsia="仿宋" w:cs="仿宋"/>
          <w:color w:val="auto"/>
          <w:sz w:val="24"/>
          <w:highlight w:val="none"/>
        </w:rPr>
        <w:t>采云平台</w:t>
      </w:r>
      <w:r>
        <w:rPr>
          <w:rFonts w:hint="eastAsia" w:ascii="仿宋" w:hAnsi="仿宋" w:eastAsia="仿宋" w:cs="仿宋"/>
          <w:color w:val="auto"/>
          <w:sz w:val="24"/>
        </w:rPr>
        <w:t>”上传递交的投标文件无法按时解密，投标供应商递交了备份投标文件的，以备份投标文件为依据，否则视为投标文件撤回。通过“</w:t>
      </w:r>
      <w:r>
        <w:rPr>
          <w:rFonts w:hint="eastAsia" w:ascii="仿宋" w:hAnsi="仿宋" w:eastAsia="仿宋" w:cs="仿宋"/>
          <w:color w:val="auto"/>
          <w:sz w:val="24"/>
          <w:lang w:eastAsia="zh-CN"/>
        </w:rPr>
        <w:t>乐</w:t>
      </w:r>
      <w:r>
        <w:rPr>
          <w:rFonts w:hint="eastAsia" w:ascii="仿宋" w:hAnsi="仿宋" w:eastAsia="仿宋" w:cs="仿宋"/>
          <w:color w:val="auto"/>
          <w:sz w:val="24"/>
        </w:rPr>
        <w:t>采云平台”上传递交的投标文件已按时解密的，备份投标文件自动失效。投标人仅提交备份投标文件，未在电子交易平台传输递交投标文件的，投标无效；</w:t>
      </w:r>
      <w:r>
        <w:rPr>
          <w:rFonts w:hint="eastAsia" w:ascii="仿宋" w:hAnsi="仿宋" w:eastAsia="仿宋" w:cs="仿宋"/>
          <w:color w:val="auto"/>
          <w:sz w:val="24"/>
          <w:highlight w:val="none"/>
        </w:rPr>
        <w:t>⑩具体操作指南：详见</w:t>
      </w:r>
      <w:r>
        <w:rPr>
          <w:rFonts w:hint="eastAsia" w:ascii="仿宋" w:hAnsi="仿宋" w:eastAsia="仿宋" w:cs="仿宋"/>
          <w:color w:val="auto"/>
          <w:sz w:val="24"/>
          <w:highlight w:val="none"/>
          <w:lang w:val="en-US" w:eastAsia="zh-CN"/>
        </w:rPr>
        <w:t>:乐采</w:t>
      </w:r>
      <w:r>
        <w:rPr>
          <w:rFonts w:hint="eastAsia" w:ascii="仿宋" w:hAnsi="仿宋" w:eastAsia="仿宋" w:cs="仿宋"/>
          <w:color w:val="auto"/>
          <w:sz w:val="24"/>
          <w:highlight w:val="none"/>
        </w:rPr>
        <w:t>云平台“服务中心-帮助文档-项目采购-电子招投标</w:t>
      </w:r>
      <w:r>
        <w:rPr>
          <w:rFonts w:hint="eastAsia" w:ascii="仿宋" w:hAnsi="仿宋" w:eastAsia="仿宋" w:cs="仿宋"/>
          <w:color w:val="auto"/>
          <w:sz w:val="24"/>
          <w:highlight w:val="none"/>
          <w:lang w:val="en-US" w:eastAsia="zh-CN"/>
        </w:rPr>
        <w:t>操作指南-</w:t>
      </w:r>
      <w:r>
        <w:rPr>
          <w:rFonts w:hint="eastAsia" w:ascii="仿宋" w:hAnsi="仿宋" w:eastAsia="仿宋" w:cs="仿宋"/>
          <w:color w:val="auto"/>
          <w:sz w:val="24"/>
          <w:highlight w:val="none"/>
        </w:rPr>
        <w:t>供应商”。</w:t>
      </w:r>
      <w:r>
        <w:rPr>
          <w:rFonts w:hint="eastAsia" w:ascii="仿宋" w:hAnsi="仿宋" w:eastAsia="仿宋" w:cs="仿宋"/>
          <w:color w:val="auto"/>
          <w:sz w:val="24"/>
        </w:rPr>
        <w:t>（</w:t>
      </w:r>
      <w:r>
        <w:rPr>
          <w:rFonts w:hint="eastAsia" w:ascii="仿宋" w:hAnsi="仿宋" w:eastAsia="仿宋" w:cs="仿宋"/>
          <w:color w:val="auto"/>
          <w:sz w:val="24"/>
          <w:lang w:val="en-US" w:eastAsia="zh-CN"/>
        </w:rPr>
        <w:t>2</w:t>
      </w:r>
      <w:r>
        <w:rPr>
          <w:rFonts w:hint="eastAsia" w:ascii="仿宋" w:hAnsi="仿宋" w:eastAsia="仿宋" w:cs="仿宋"/>
          <w:color w:val="auto"/>
          <w:sz w:val="24"/>
        </w:rPr>
        <w:t>）招标文件公告期限与招标公告的公告期限一致。</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七、对本次采购提出询问、质疑、投诉，请按以下方式联系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宋体" w:hAnsi="宋体" w:cs="宋体"/>
          <w:color w:val="auto"/>
          <w:sz w:val="24"/>
        </w:rPr>
        <w:t xml:space="preserve"> </w:t>
      </w:r>
      <w:r>
        <w:rPr>
          <w:rFonts w:hint="eastAsia" w:ascii="仿宋" w:hAnsi="仿宋" w:eastAsia="仿宋" w:cs="仿宋"/>
          <w:color w:val="auto"/>
          <w:sz w:val="24"/>
        </w:rPr>
        <w:t xml:space="preserve"> 1.采购人信息</w:t>
      </w:r>
    </w:p>
    <w:p>
      <w:pPr>
        <w:spacing w:line="360" w:lineRule="auto"/>
        <w:ind w:firstLine="480" w:firstLineChars="200"/>
        <w:rPr>
          <w:rFonts w:hint="default" w:ascii="仿宋" w:hAnsi="仿宋" w:eastAsia="仿宋" w:cs="仿宋"/>
          <w:color w:val="auto"/>
          <w:sz w:val="24"/>
          <w:lang w:val="en-US" w:eastAsia="zh-CN"/>
        </w:rPr>
      </w:pPr>
      <w:r>
        <w:rPr>
          <w:rFonts w:hint="eastAsia" w:ascii="仿宋" w:hAnsi="仿宋" w:eastAsia="仿宋" w:cs="仿宋"/>
          <w:color w:val="auto"/>
          <w:sz w:val="24"/>
        </w:rPr>
        <w:t>名称：</w:t>
      </w:r>
      <w:r>
        <w:rPr>
          <w:rFonts w:hint="eastAsia" w:ascii="仿宋" w:hAnsi="仿宋" w:eastAsia="仿宋" w:cs="仿宋"/>
          <w:color w:val="auto"/>
          <w:sz w:val="24"/>
          <w:lang w:val="zh-CN"/>
        </w:rPr>
        <w:t>淳安县两山生态资源经营开发有限公司</w:t>
      </w:r>
    </w:p>
    <w:p>
      <w:pPr>
        <w:spacing w:line="360" w:lineRule="auto"/>
        <w:ind w:firstLine="480" w:firstLineChars="200"/>
        <w:rPr>
          <w:rFonts w:hint="default" w:ascii="仿宋" w:hAnsi="仿宋" w:eastAsia="仿宋" w:cs="仿宋"/>
          <w:color w:val="auto"/>
          <w:sz w:val="24"/>
          <w:lang w:val="en-US" w:eastAsia="zh-CN"/>
        </w:rPr>
      </w:pPr>
      <w:r>
        <w:rPr>
          <w:rFonts w:hint="eastAsia" w:ascii="仿宋" w:hAnsi="仿宋" w:eastAsia="仿宋" w:cs="仿宋"/>
          <w:color w:val="auto"/>
          <w:sz w:val="24"/>
          <w:lang w:val="zh-CN"/>
        </w:rPr>
        <w:t>地址：</w:t>
      </w:r>
      <w:r>
        <w:rPr>
          <w:rFonts w:hint="eastAsia" w:ascii="仿宋" w:hAnsi="仿宋" w:eastAsia="仿宋" w:cs="仿宋"/>
          <w:color w:val="auto"/>
          <w:sz w:val="24"/>
          <w:lang w:val="zh-CN" w:eastAsia="zh-CN"/>
        </w:rPr>
        <w:t>淳安县千岛湖镇阳光路</w:t>
      </w:r>
      <w:r>
        <w:rPr>
          <w:rFonts w:hint="eastAsia" w:ascii="仿宋" w:hAnsi="仿宋" w:eastAsia="仿宋" w:cs="仿宋"/>
          <w:color w:val="auto"/>
          <w:sz w:val="24"/>
          <w:lang w:val="en-US" w:eastAsia="zh-CN"/>
        </w:rPr>
        <w:t>688号</w:t>
      </w:r>
    </w:p>
    <w:p>
      <w:pPr>
        <w:spacing w:line="360" w:lineRule="auto"/>
        <w:ind w:firstLine="480" w:firstLineChars="200"/>
        <w:rPr>
          <w:rFonts w:hint="default" w:ascii="仿宋" w:hAnsi="仿宋" w:eastAsia="仿宋" w:cs="仿宋"/>
          <w:color w:val="auto"/>
          <w:sz w:val="24"/>
          <w:lang w:val="en-US" w:eastAsia="zh-CN"/>
        </w:rPr>
      </w:pPr>
      <w:r>
        <w:rPr>
          <w:rFonts w:hint="eastAsia" w:ascii="仿宋" w:hAnsi="仿宋" w:eastAsia="仿宋" w:cs="仿宋"/>
          <w:color w:val="auto"/>
          <w:sz w:val="24"/>
        </w:rPr>
        <w:t>项目经办人：</w:t>
      </w:r>
      <w:r>
        <w:rPr>
          <w:rFonts w:hint="eastAsia" w:ascii="仿宋" w:hAnsi="仿宋" w:eastAsia="仿宋" w:cs="仿宋"/>
          <w:color w:val="auto"/>
          <w:sz w:val="24"/>
          <w:lang w:eastAsia="zh-CN"/>
        </w:rPr>
        <w:t>黄萍</w:t>
      </w:r>
      <w:r>
        <w:rPr>
          <w:rFonts w:hint="eastAsia" w:ascii="仿宋" w:hAnsi="仿宋" w:eastAsia="仿宋" w:cs="仿宋"/>
          <w:color w:val="auto"/>
          <w:sz w:val="24"/>
        </w:rPr>
        <w:t xml:space="preserve">          联系电话：</w:t>
      </w:r>
      <w:r>
        <w:rPr>
          <w:rFonts w:hint="eastAsia" w:ascii="仿宋" w:hAnsi="仿宋" w:eastAsia="仿宋" w:cs="仿宋"/>
          <w:color w:val="auto"/>
          <w:sz w:val="24"/>
          <w:lang w:val="en-US" w:eastAsia="zh-CN"/>
        </w:rPr>
        <w:t>0571-64881237</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zh-CN"/>
        </w:rPr>
        <w:t>质疑联系人：</w:t>
      </w:r>
      <w:r>
        <w:rPr>
          <w:rFonts w:hint="eastAsia" w:ascii="仿宋" w:hAnsi="仿宋" w:eastAsia="仿宋" w:cs="仿宋"/>
          <w:color w:val="auto"/>
          <w:sz w:val="24"/>
          <w:lang w:val="en-US" w:eastAsia="zh-CN"/>
        </w:rPr>
        <w:t>余非</w:t>
      </w:r>
      <w:r>
        <w:rPr>
          <w:rFonts w:hint="eastAsia" w:ascii="仿宋" w:hAnsi="仿宋" w:eastAsia="仿宋" w:cs="仿宋"/>
          <w:color w:val="auto"/>
          <w:sz w:val="24"/>
          <w:lang w:val="zh-CN"/>
        </w:rPr>
        <w:t xml:space="preserve">              联系电话：</w:t>
      </w:r>
      <w:r>
        <w:rPr>
          <w:rFonts w:hint="eastAsia" w:ascii="仿宋" w:hAnsi="仿宋" w:eastAsia="仿宋" w:cs="仿宋"/>
          <w:color w:val="auto"/>
          <w:sz w:val="24"/>
          <w:lang w:val="en-US" w:eastAsia="zh-CN"/>
        </w:rPr>
        <w:t>0571-64813061</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2.采购代理机构信息            </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rPr>
        <w:t>名称：东方经纬项目管理有限公司</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地址：淳安县千岛湖镇梦姑路490号12幢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项目联系人（询问）：王芳芳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项目联系方式（询问）：</w:t>
      </w:r>
      <w:r>
        <w:rPr>
          <w:rFonts w:hint="eastAsia" w:ascii="仿宋" w:hAnsi="仿宋" w:eastAsia="仿宋" w:cs="仿宋"/>
          <w:color w:val="auto"/>
          <w:sz w:val="24"/>
          <w:lang w:val="en-US" w:eastAsia="zh-CN"/>
        </w:rPr>
        <w:t>18758869556</w:t>
      </w:r>
      <w:r>
        <w:rPr>
          <w:rFonts w:hint="eastAsia" w:ascii="仿宋" w:hAnsi="仿宋" w:eastAsia="仿宋" w:cs="仿宋"/>
          <w:color w:val="auto"/>
          <w:sz w:val="24"/>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质疑联系人：</w:t>
      </w:r>
      <w:r>
        <w:rPr>
          <w:rFonts w:hint="eastAsia" w:ascii="仿宋" w:hAnsi="仿宋" w:eastAsia="仿宋" w:cs="仿宋"/>
          <w:color w:val="auto"/>
          <w:sz w:val="24"/>
          <w:lang w:val="en-US" w:eastAsia="zh-CN"/>
        </w:rPr>
        <w:t>方钰婕</w:t>
      </w:r>
      <w:r>
        <w:rPr>
          <w:rFonts w:hint="eastAsia" w:ascii="仿宋" w:hAnsi="仿宋" w:eastAsia="仿宋" w:cs="仿宋"/>
          <w:color w:val="auto"/>
          <w:sz w:val="24"/>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质疑联系方式：</w:t>
      </w:r>
      <w:r>
        <w:rPr>
          <w:rFonts w:hint="eastAsia" w:ascii="仿宋" w:hAnsi="仿宋" w:eastAsia="仿宋" w:cs="仿宋"/>
          <w:color w:val="auto"/>
          <w:sz w:val="24"/>
          <w:lang w:val="en-US" w:eastAsia="zh-CN"/>
        </w:rPr>
        <w:t>18258828444</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 xml:space="preserve"> 3.</w:t>
      </w:r>
      <w:r>
        <w:rPr>
          <w:rFonts w:hint="eastAsia" w:ascii="仿宋" w:hAnsi="仿宋" w:eastAsia="仿宋" w:cs="仿宋"/>
          <w:color w:val="auto"/>
          <w:sz w:val="24"/>
          <w:lang w:eastAsia="zh-CN"/>
        </w:rPr>
        <w:t>采购单位纪检监察</w:t>
      </w:r>
      <w:r>
        <w:rPr>
          <w:rFonts w:hint="eastAsia" w:ascii="仿宋" w:hAnsi="仿宋" w:eastAsia="仿宋" w:cs="仿宋"/>
          <w:color w:val="auto"/>
          <w:sz w:val="24"/>
        </w:rPr>
        <w:t xml:space="preserve">部门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名称：</w:t>
      </w:r>
      <w:r>
        <w:rPr>
          <w:rFonts w:hint="eastAsia" w:ascii="仿宋" w:hAnsi="仿宋" w:eastAsia="仿宋" w:cs="仿宋"/>
          <w:color w:val="auto"/>
          <w:sz w:val="24"/>
          <w:lang w:eastAsia="zh-CN"/>
        </w:rPr>
        <w:t>生态集团纪检监察室</w:t>
      </w:r>
      <w:r>
        <w:rPr>
          <w:rFonts w:hint="eastAsia" w:ascii="仿宋" w:hAnsi="仿宋" w:eastAsia="仿宋" w:cs="仿宋"/>
          <w:color w:val="auto"/>
          <w:sz w:val="24"/>
          <w:lang w:val="en-US" w:eastAsia="zh-CN"/>
        </w:rPr>
        <w:t xml:space="preserve"> </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rPr>
        <w:t>地址：千岛湖镇排岭南路55号</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联系人 </w:t>
      </w:r>
      <w:r>
        <w:rPr>
          <w:rFonts w:hint="eastAsia" w:ascii="仿宋" w:hAnsi="仿宋" w:eastAsia="仿宋" w:cs="仿宋"/>
          <w:color w:val="auto"/>
          <w:sz w:val="24"/>
          <w:lang w:eastAsia="zh-CN"/>
        </w:rPr>
        <w:t>黄武祥</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监督投诉电话：</w:t>
      </w:r>
      <w:r>
        <w:rPr>
          <w:rFonts w:hint="eastAsia" w:ascii="仿宋" w:hAnsi="仿宋" w:eastAsia="仿宋" w:cs="仿宋"/>
          <w:color w:val="auto"/>
          <w:sz w:val="24"/>
          <w:lang w:val="en-US" w:eastAsia="zh-CN"/>
        </w:rPr>
        <w:t>0571-64813881</w:t>
      </w:r>
      <w:r>
        <w:rPr>
          <w:rFonts w:hint="eastAsia" w:ascii="仿宋" w:hAnsi="仿宋" w:eastAsia="仿宋" w:cs="仿宋"/>
          <w:color w:val="auto"/>
          <w:sz w:val="24"/>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若对项目采购电子交易系统操作有疑问，可登录</w:t>
      </w:r>
      <w:r>
        <w:rPr>
          <w:rFonts w:hint="eastAsia" w:ascii="仿宋" w:hAnsi="仿宋" w:eastAsia="仿宋" w:cs="仿宋"/>
          <w:color w:val="auto"/>
          <w:sz w:val="24"/>
          <w:lang w:eastAsia="zh-CN"/>
        </w:rPr>
        <w:t>乐</w:t>
      </w:r>
      <w:r>
        <w:rPr>
          <w:rFonts w:hint="eastAsia" w:ascii="仿宋" w:hAnsi="仿宋" w:eastAsia="仿宋" w:cs="仿宋"/>
          <w:color w:val="auto"/>
          <w:sz w:val="24"/>
          <w:highlight w:val="none"/>
        </w:rPr>
        <w:t>采云（https://www.</w:t>
      </w:r>
      <w:r>
        <w:rPr>
          <w:rFonts w:hint="eastAsia" w:ascii="仿宋" w:hAnsi="仿宋" w:eastAsia="仿宋" w:cs="仿宋"/>
          <w:color w:val="auto"/>
          <w:sz w:val="24"/>
          <w:highlight w:val="none"/>
          <w:lang w:val="en-US" w:eastAsia="zh-CN"/>
        </w:rPr>
        <w:t>lecaiyun</w:t>
      </w:r>
      <w:r>
        <w:rPr>
          <w:rFonts w:hint="eastAsia" w:ascii="仿宋" w:hAnsi="仿宋" w:eastAsia="仿宋" w:cs="仿宋"/>
          <w:color w:val="auto"/>
          <w:sz w:val="24"/>
          <w:highlight w:val="none"/>
        </w:rPr>
        <w:t>.c</w:t>
      </w:r>
      <w:r>
        <w:rPr>
          <w:rFonts w:hint="eastAsia" w:ascii="仿宋" w:hAnsi="仿宋" w:eastAsia="仿宋" w:cs="仿宋"/>
          <w:color w:val="auto"/>
          <w:sz w:val="24"/>
          <w:highlight w:val="none"/>
          <w:lang w:val="en-US" w:eastAsia="zh-CN"/>
        </w:rPr>
        <w:t>om</w:t>
      </w:r>
      <w:r>
        <w:rPr>
          <w:rFonts w:hint="eastAsia" w:ascii="仿宋" w:hAnsi="仿宋" w:eastAsia="仿宋" w:cs="仿宋"/>
          <w:color w:val="auto"/>
          <w:sz w:val="24"/>
          <w:highlight w:val="none"/>
        </w:rPr>
        <w:t>/），</w:t>
      </w:r>
      <w:r>
        <w:rPr>
          <w:rFonts w:hint="eastAsia" w:ascii="仿宋" w:hAnsi="仿宋" w:eastAsia="仿宋" w:cs="仿宋"/>
          <w:color w:val="auto"/>
          <w:sz w:val="24"/>
        </w:rPr>
        <w:t>点击右侧咨询小采，获取采小蜜智能服务管家帮助，或拨打政采云</w:t>
      </w:r>
      <w:r>
        <w:rPr>
          <w:rFonts w:hint="eastAsia" w:ascii="仿宋" w:hAnsi="仿宋" w:eastAsia="仿宋" w:cs="仿宋"/>
          <w:color w:val="auto"/>
          <w:sz w:val="24"/>
          <w:lang w:val="en-US" w:eastAsia="zh-CN"/>
        </w:rPr>
        <w:t>有限公司</w:t>
      </w:r>
      <w:r>
        <w:rPr>
          <w:rFonts w:hint="eastAsia" w:ascii="仿宋" w:hAnsi="仿宋" w:eastAsia="仿宋" w:cs="仿宋"/>
          <w:color w:val="auto"/>
          <w:sz w:val="24"/>
        </w:rPr>
        <w:t>服务热线95763获取热线服务帮助。</w:t>
      </w:r>
    </w:p>
    <w:p>
      <w:pPr>
        <w:spacing w:line="360" w:lineRule="auto"/>
        <w:ind w:firstLine="480" w:firstLineChars="200"/>
        <w:rPr>
          <w:rFonts w:hint="eastAsia" w:ascii="仿宋" w:hAnsi="仿宋" w:eastAsia="仿宋" w:cs="仿宋"/>
          <w:color w:val="auto"/>
          <w:sz w:val="24"/>
          <w:highlight w:val="yellow"/>
        </w:rPr>
      </w:pPr>
      <w:r>
        <w:rPr>
          <w:rFonts w:hint="eastAsia" w:ascii="仿宋" w:hAnsi="仿宋" w:eastAsia="仿宋" w:cs="仿宋"/>
          <w:color w:val="auto"/>
          <w:sz w:val="24"/>
          <w:highlight w:val="none"/>
        </w:rPr>
        <w:t>CA问题联系电话（人工）：汇信CA 400-888-4636；天谷CA 400-087-8198。</w:t>
      </w:r>
    </w:p>
    <w:p>
      <w:pPr>
        <w:pStyle w:val="9"/>
        <w:spacing w:line="360" w:lineRule="auto"/>
        <w:rPr>
          <w:rFonts w:hint="eastAsia" w:ascii="仿宋" w:hAnsi="仿宋" w:eastAsia="仿宋" w:cs="仿宋"/>
          <w:snapToGrid/>
          <w:color w:val="auto"/>
          <w:sz w:val="24"/>
          <w:szCs w:val="24"/>
        </w:rPr>
      </w:pPr>
      <w:r>
        <w:rPr>
          <w:rFonts w:hint="eastAsia" w:ascii="仿宋" w:hAnsi="仿宋" w:eastAsia="仿宋" w:cs="仿宋"/>
          <w:color w:val="auto"/>
          <w:sz w:val="24"/>
        </w:rPr>
        <w:t xml:space="preserve">                        </w:t>
      </w:r>
      <w:r>
        <w:rPr>
          <w:rFonts w:hint="eastAsia" w:ascii="仿宋" w:hAnsi="仿宋" w:eastAsia="仿宋" w:cs="仿宋"/>
          <w:b/>
          <w:color w:val="auto"/>
          <w:sz w:val="36"/>
          <w:szCs w:val="20"/>
        </w:rPr>
        <w:t xml:space="preserve">        </w:t>
      </w:r>
    </w:p>
    <w:p>
      <w:pPr>
        <w:pStyle w:val="6"/>
        <w:rPr>
          <w:rFonts w:hint="eastAsia" w:ascii="仿宋" w:hAnsi="仿宋" w:eastAsia="仿宋" w:cs="仿宋"/>
          <w:snapToGrid w:val="0"/>
          <w:color w:val="auto"/>
        </w:rPr>
      </w:pPr>
      <w:r>
        <w:rPr>
          <w:rFonts w:hint="eastAsia" w:ascii="仿宋" w:hAnsi="仿宋" w:eastAsia="仿宋" w:cs="仿宋"/>
          <w:color w:val="auto"/>
        </w:rPr>
        <w:br w:type="page"/>
      </w:r>
    </w:p>
    <w:p>
      <w:pPr>
        <w:adjustRightInd/>
        <w:spacing w:line="360" w:lineRule="auto"/>
        <w:jc w:val="center"/>
        <w:outlineLvl w:val="0"/>
        <w:rPr>
          <w:rFonts w:hint="eastAsia" w:ascii="仿宋" w:hAnsi="仿宋" w:eastAsia="仿宋" w:cs="仿宋"/>
          <w:b/>
          <w:color w:val="auto"/>
          <w:sz w:val="36"/>
          <w:szCs w:val="20"/>
        </w:rPr>
      </w:pPr>
      <w:r>
        <w:rPr>
          <w:rFonts w:hint="eastAsia" w:ascii="仿宋" w:hAnsi="仿宋" w:eastAsia="仿宋" w:cs="仿宋"/>
          <w:b/>
          <w:color w:val="auto"/>
          <w:sz w:val="36"/>
          <w:szCs w:val="20"/>
        </w:rPr>
        <w:t>第二部分</w:t>
      </w:r>
      <w:bookmarkEnd w:id="7"/>
      <w:r>
        <w:rPr>
          <w:rFonts w:hint="eastAsia" w:ascii="仿宋" w:hAnsi="仿宋" w:eastAsia="仿宋" w:cs="仿宋"/>
          <w:b/>
          <w:color w:val="auto"/>
          <w:sz w:val="36"/>
          <w:szCs w:val="20"/>
        </w:rPr>
        <w:t xml:space="preserve"> 投标人须知</w:t>
      </w:r>
      <w:bookmarkEnd w:id="8"/>
    </w:p>
    <w:p>
      <w:pPr>
        <w:adjustRightInd/>
        <w:spacing w:line="360" w:lineRule="auto"/>
        <w:ind w:firstLine="3845" w:firstLineChars="1197"/>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前附表</w:t>
      </w:r>
    </w:p>
    <w:tbl>
      <w:tblPr>
        <w:tblStyle w:val="62"/>
        <w:tblW w:w="928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8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事项</w:t>
            </w:r>
          </w:p>
        </w:tc>
        <w:tc>
          <w:tcPr>
            <w:tcW w:w="6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项目属性与核心产品</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货物类，单一产品或</w:t>
            </w:r>
            <w:r>
              <w:rPr>
                <w:rFonts w:hint="eastAsia" w:ascii="仿宋" w:hAnsi="仿宋" w:eastAsia="仿宋" w:cs="仿宋"/>
                <w:color w:val="auto"/>
                <w:kern w:val="0"/>
                <w:sz w:val="24"/>
              </w:rPr>
              <w:t>核心产品为：</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zh-CN" w:eastAsia="zh-CN"/>
              </w:rPr>
              <w:t>17.8m</w:t>
            </w:r>
            <w:r>
              <w:rPr>
                <w:rFonts w:hint="eastAsia" w:ascii="仿宋" w:hAnsi="仿宋" w:eastAsia="仿宋" w:cs="仿宋"/>
                <w:color w:val="auto"/>
                <w:sz w:val="24"/>
                <w:u w:val="single"/>
                <w:lang w:val="en-US" w:eastAsia="zh-CN"/>
              </w:rPr>
              <w:t>巡护</w:t>
            </w:r>
            <w:r>
              <w:rPr>
                <w:rFonts w:hint="eastAsia" w:ascii="仿宋" w:hAnsi="仿宋" w:eastAsia="仿宋" w:cs="仿宋"/>
                <w:color w:val="auto"/>
                <w:sz w:val="24"/>
                <w:u w:val="single"/>
                <w:lang w:val="zh-CN" w:eastAsia="zh-CN"/>
              </w:rPr>
              <w:t>船</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360" w:lineRule="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6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采购标的及其对应的中小企业划分标准所属行业</w:t>
            </w:r>
          </w:p>
        </w:tc>
        <w:tc>
          <w:tcPr>
            <w:tcW w:w="6813" w:type="dxa"/>
            <w:tcBorders>
              <w:top w:val="single" w:color="000000" w:sz="8" w:space="0"/>
              <w:left w:val="single" w:color="000000" w:sz="2" w:space="0"/>
              <w:bottom w:val="single" w:color="000000" w:sz="8" w:space="0"/>
              <w:right w:val="single" w:color="000000" w:sz="8" w:space="0"/>
            </w:tcBorders>
            <w:vAlign w:val="center"/>
          </w:tcPr>
          <w:p>
            <w:pPr>
              <w:pStyle w:val="6"/>
              <w:rPr>
                <w:rFonts w:hint="eastAsia" w:ascii="仿宋" w:hAnsi="仿宋" w:eastAsia="仿宋" w:cs="仿宋"/>
                <w:color w:val="auto"/>
                <w:lang w:val="en-US"/>
              </w:rPr>
            </w:pPr>
            <w:r>
              <w:rPr>
                <w:rFonts w:hint="eastAsia" w:ascii="仿宋" w:hAnsi="仿宋" w:eastAsia="仿宋" w:cs="仿宋"/>
                <w:b/>
                <w:bCs w:val="0"/>
                <w:color w:val="auto"/>
                <w:kern w:val="2"/>
                <w:sz w:val="24"/>
                <w:szCs w:val="24"/>
                <w:highlight w:val="none"/>
                <w:lang w:val="en-US" w:eastAsia="zh-CN" w:bidi="ar-SA"/>
              </w:rPr>
              <w:t>采购标的及所属行业详见报价文件中的《中小企业声明函》。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本项目不允许采购进口产品。</w:t>
            </w:r>
          </w:p>
          <w:p>
            <w:pPr>
              <w:spacing w:line="360" w:lineRule="auto"/>
              <w:rPr>
                <w:rFonts w:hint="eastAsia" w:ascii="仿宋" w:hAnsi="仿宋" w:eastAsia="仿宋" w:cs="仿宋"/>
                <w:color w:val="auto"/>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kern w:val="0"/>
                <w:sz w:val="24"/>
                <w:highlight w:val="none"/>
              </w:rPr>
              <w:t>可以就</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kern w:val="0"/>
                <w:sz w:val="24"/>
                <w:highlight w:val="none"/>
              </w:rPr>
              <w:t xml:space="preserve"> A</w:t>
            </w:r>
            <w:r>
              <w:rPr>
                <w:rFonts w:hint="eastAsia" w:ascii="仿宋" w:hAnsi="仿宋" w:eastAsia="仿宋" w:cs="仿宋"/>
                <w:color w:val="auto"/>
                <w:sz w:val="24"/>
                <w:highlight w:val="none"/>
              </w:rPr>
              <w:t>同意将非主体、非关键性的</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工作分包。</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 xml:space="preserve"> B</w:t>
            </w:r>
            <w:r>
              <w:rPr>
                <w:rFonts w:hint="eastAsia" w:ascii="仿宋" w:hAnsi="仿宋" w:eastAsia="仿宋" w:cs="仿宋"/>
                <w:color w:val="auto"/>
                <w:sz w:val="24"/>
                <w:highlight w:val="none"/>
              </w:rPr>
              <w:t>不同意分包。</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开标前答疑会或现场考察</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kern w:val="0"/>
                <w:sz w:val="24"/>
              </w:rPr>
              <w:sym w:font="Wingdings" w:char="00FE"/>
            </w:r>
            <w:r>
              <w:rPr>
                <w:rFonts w:hint="eastAsia" w:ascii="仿宋" w:hAnsi="仿宋" w:eastAsia="仿宋" w:cs="仿宋"/>
                <w:color w:val="auto"/>
                <w:kern w:val="0"/>
                <w:sz w:val="24"/>
              </w:rPr>
              <w:t>A</w:t>
            </w:r>
            <w:r>
              <w:rPr>
                <w:rFonts w:hint="eastAsia" w:ascii="仿宋" w:hAnsi="仿宋" w:eastAsia="仿宋" w:cs="仿宋"/>
                <w:color w:val="auto"/>
                <w:sz w:val="24"/>
              </w:rPr>
              <w:t>不组织。</w:t>
            </w:r>
          </w:p>
          <w:p>
            <w:pPr>
              <w:spacing w:line="360" w:lineRule="auto"/>
              <w:rPr>
                <w:rFonts w:hint="eastAsia" w:ascii="仿宋" w:hAnsi="仿宋" w:eastAsia="仿宋" w:cs="仿宋"/>
                <w:color w:val="auto"/>
                <w:sz w:val="24"/>
                <w:szCs w:val="20"/>
              </w:rPr>
            </w:pPr>
            <w:r>
              <w:rPr>
                <w:rFonts w:hint="eastAsia" w:ascii="仿宋" w:hAnsi="仿宋" w:eastAsia="仿宋" w:cs="仿宋"/>
                <w:color w:val="auto"/>
                <w:kern w:val="0"/>
                <w:sz w:val="24"/>
              </w:rPr>
              <w:t>☐B组织，</w:t>
            </w:r>
            <w:r>
              <w:rPr>
                <w:rFonts w:hint="eastAsia" w:ascii="仿宋" w:hAnsi="仿宋" w:eastAsia="仿宋" w:cs="仿宋"/>
                <w:color w:val="auto"/>
                <w:sz w:val="24"/>
              </w:rPr>
              <w:t>时间：</w:t>
            </w:r>
            <w:r>
              <w:rPr>
                <w:rFonts w:hint="eastAsia" w:ascii="仿宋" w:hAnsi="仿宋" w:eastAsia="仿宋" w:cs="仿宋"/>
                <w:color w:val="auto"/>
                <w:sz w:val="24"/>
                <w:u w:val="single"/>
              </w:rPr>
              <w:t xml:space="preserve">      </w:t>
            </w:r>
            <w:r>
              <w:rPr>
                <w:rFonts w:hint="eastAsia" w:ascii="仿宋" w:hAnsi="仿宋" w:eastAsia="仿宋" w:cs="仿宋"/>
                <w:color w:val="auto"/>
                <w:sz w:val="24"/>
              </w:rPr>
              <w:t>,地点：</w:t>
            </w:r>
            <w:r>
              <w:rPr>
                <w:rFonts w:hint="eastAsia" w:ascii="仿宋" w:hAnsi="仿宋" w:eastAsia="仿宋" w:cs="仿宋"/>
                <w:color w:val="auto"/>
                <w:sz w:val="24"/>
                <w:u w:val="single"/>
              </w:rPr>
              <w:t xml:space="preserve">      </w:t>
            </w:r>
            <w:r>
              <w:rPr>
                <w:rFonts w:hint="eastAsia" w:ascii="仿宋" w:hAnsi="仿宋" w:eastAsia="仿宋" w:cs="仿宋"/>
                <w:color w:val="auto"/>
                <w:sz w:val="24"/>
              </w:rPr>
              <w:t>，联系人：</w:t>
            </w:r>
            <w:r>
              <w:rPr>
                <w:rFonts w:hint="eastAsia" w:ascii="仿宋" w:hAnsi="仿宋" w:eastAsia="仿宋" w:cs="仿宋"/>
                <w:color w:val="auto"/>
                <w:sz w:val="24"/>
                <w:u w:val="single"/>
              </w:rPr>
              <w:t xml:space="preserve">      </w:t>
            </w:r>
            <w:r>
              <w:rPr>
                <w:rFonts w:hint="eastAsia" w:ascii="仿宋" w:hAnsi="仿宋" w:eastAsia="仿宋" w:cs="仿宋"/>
                <w:color w:val="auto"/>
                <w:sz w:val="24"/>
              </w:rPr>
              <w:t>，联系方式：</w:t>
            </w:r>
            <w:r>
              <w:rPr>
                <w:rFonts w:hint="eastAsia" w:ascii="仿宋" w:hAnsi="仿宋" w:eastAsia="仿宋" w:cs="仿宋"/>
                <w:color w:val="auto"/>
                <w:sz w:val="24"/>
                <w:u w:val="single"/>
              </w:rPr>
              <w:t xml:space="preserve">      </w:t>
            </w:r>
            <w:r>
              <w:rPr>
                <w:rFonts w:hint="eastAsia" w:ascii="仿宋" w:hAnsi="仿宋" w:eastAsia="仿宋" w:cs="仿宋"/>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31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样品提供</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sdt>
              <w:sdtPr>
                <w:rPr>
                  <w:rFonts w:hint="eastAsia" w:ascii="仿宋" w:hAnsi="仿宋" w:eastAsia="仿宋" w:cs="仿宋"/>
                  <w:color w:val="auto"/>
                  <w:kern w:val="0"/>
                  <w:sz w:val="24"/>
                </w:rPr>
                <w:id w:val="1026831988"/>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00FE"/>
                </w:r>
              </w:sdtContent>
            </w:sdt>
            <w:r>
              <w:rPr>
                <w:rFonts w:hint="eastAsia" w:ascii="仿宋" w:hAnsi="仿宋" w:eastAsia="仿宋" w:cs="仿宋"/>
                <w:color w:val="auto"/>
                <w:kern w:val="0"/>
                <w:sz w:val="24"/>
              </w:rPr>
              <w:t>A</w:t>
            </w:r>
            <w:r>
              <w:rPr>
                <w:rFonts w:hint="eastAsia" w:ascii="仿宋" w:hAnsi="仿宋" w:eastAsia="仿宋" w:cs="仿宋"/>
                <w:color w:val="auto"/>
                <w:sz w:val="24"/>
              </w:rPr>
              <w:t>不要求提供。</w:t>
            </w:r>
          </w:p>
          <w:p>
            <w:pPr>
              <w:spacing w:line="360" w:lineRule="auto"/>
              <w:rPr>
                <w:rFonts w:hint="eastAsia" w:ascii="仿宋" w:hAnsi="仿宋" w:eastAsia="仿宋" w:cs="仿宋"/>
                <w:color w:val="auto"/>
                <w:kern w:val="0"/>
                <w:sz w:val="24"/>
                <w:lang w:eastAsia="zh-CN"/>
              </w:rPr>
            </w:pPr>
            <w:sdt>
              <w:sdtPr>
                <w:rPr>
                  <w:rFonts w:hint="eastAsia" w:ascii="仿宋" w:hAnsi="仿宋" w:eastAsia="仿宋" w:cs="仿宋"/>
                  <w:color w:val="auto"/>
                  <w:kern w:val="0"/>
                  <w:sz w:val="24"/>
                </w:rPr>
                <w:id w:val="1026831988"/>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00A8"/>
                </w:r>
              </w:sdtContent>
            </w:sdt>
            <w:r>
              <w:rPr>
                <w:rFonts w:hint="eastAsia" w:ascii="仿宋" w:hAnsi="仿宋" w:eastAsia="仿宋" w:cs="仿宋"/>
                <w:color w:val="auto"/>
                <w:kern w:val="0"/>
                <w:sz w:val="24"/>
              </w:rPr>
              <w:t>B要求提供</w:t>
            </w:r>
            <w:r>
              <w:rPr>
                <w:rFonts w:hint="eastAsia" w:ascii="仿宋" w:hAnsi="仿宋" w:eastAsia="仿宋" w:cs="仿宋"/>
                <w:color w:val="auto"/>
                <w:kern w:val="0"/>
                <w:sz w:val="24"/>
                <w:lang w:eastAsia="zh-CN"/>
              </w:rPr>
              <w:t>。</w:t>
            </w:r>
          </w:p>
          <w:p>
            <w:pPr>
              <w:numPr>
                <w:ilvl w:val="0"/>
                <w:numId w:val="2"/>
              </w:numPr>
              <w:spacing w:line="360" w:lineRule="auto"/>
              <w:rPr>
                <w:rFonts w:hint="eastAsia" w:ascii="仿宋" w:hAnsi="仿宋" w:eastAsia="仿宋" w:cs="仿宋"/>
                <w:b/>
                <w:bCs/>
                <w:color w:val="auto"/>
                <w:kern w:val="0"/>
                <w:sz w:val="24"/>
                <w:u w:val="single"/>
              </w:rPr>
            </w:pPr>
            <w:r>
              <w:rPr>
                <w:rFonts w:hint="eastAsia" w:ascii="仿宋" w:hAnsi="仿宋" w:eastAsia="仿宋" w:cs="仿宋"/>
                <w:b/>
                <w:bCs/>
                <w:snapToGrid w:val="0"/>
                <w:color w:val="auto"/>
                <w:kern w:val="28"/>
                <w:sz w:val="24"/>
              </w:rPr>
              <w:t>样品：</w:t>
            </w:r>
            <w:r>
              <w:rPr>
                <w:rFonts w:hint="eastAsia" w:ascii="仿宋" w:hAnsi="仿宋" w:eastAsia="仿宋" w:cs="仿宋"/>
                <w:b/>
                <w:bCs/>
                <w:snapToGrid w:val="0"/>
                <w:color w:val="auto"/>
                <w:kern w:val="28"/>
                <w:sz w:val="24"/>
                <w:u w:val="single"/>
                <w:lang w:val="en-US" w:eastAsia="zh-CN"/>
              </w:rPr>
              <w:t xml:space="preserve">            </w:t>
            </w:r>
            <w:r>
              <w:rPr>
                <w:rFonts w:hint="eastAsia" w:ascii="仿宋" w:hAnsi="仿宋" w:eastAsia="仿宋" w:cs="仿宋"/>
                <w:b/>
                <w:bCs/>
                <w:color w:val="auto"/>
                <w:kern w:val="0"/>
                <w:sz w:val="24"/>
                <w:u w:val="single"/>
              </w:rPr>
              <w:t>。</w:t>
            </w:r>
          </w:p>
          <w:p>
            <w:pPr>
              <w:numPr>
                <w:ilvl w:val="0"/>
                <w:numId w:val="2"/>
              </w:numPr>
              <w:spacing w:line="360" w:lineRule="auto"/>
              <w:rPr>
                <w:rFonts w:hint="eastAsia" w:ascii="仿宋" w:hAnsi="仿宋" w:eastAsia="仿宋" w:cs="仿宋"/>
                <w:color w:val="auto"/>
                <w:kern w:val="0"/>
                <w:sz w:val="24"/>
              </w:rPr>
            </w:pPr>
            <w:r>
              <w:rPr>
                <w:rFonts w:hint="eastAsia" w:ascii="仿宋" w:hAnsi="仿宋" w:eastAsia="仿宋" w:cs="仿宋"/>
                <w:snapToGrid w:val="0"/>
                <w:color w:val="auto"/>
                <w:kern w:val="28"/>
                <w:sz w:val="24"/>
              </w:rPr>
              <w:t>样品制作的标准和要求：</w:t>
            </w:r>
            <w:r>
              <w:rPr>
                <w:rFonts w:hint="eastAsia" w:ascii="仿宋" w:hAnsi="仿宋" w:eastAsia="仿宋" w:cs="仿宋"/>
                <w:color w:val="auto"/>
                <w:sz w:val="24"/>
                <w:u w:val="single"/>
              </w:rPr>
              <w:t xml:space="preserve"> </w:t>
            </w:r>
            <w:r>
              <w:rPr>
                <w:rFonts w:hint="eastAsia" w:ascii="仿宋" w:hAnsi="仿宋" w:eastAsia="仿宋" w:cs="仿宋"/>
                <w:snapToGrid w:val="0"/>
                <w:color w:val="auto"/>
                <w:kern w:val="28"/>
                <w:sz w:val="24"/>
                <w:u w:val="single"/>
                <w:lang w:val="en-US" w:eastAsia="zh-CN"/>
              </w:rPr>
              <w:t xml:space="preserve">   </w:t>
            </w:r>
            <w:r>
              <w:rPr>
                <w:rFonts w:hint="eastAsia" w:ascii="仿宋" w:hAnsi="仿宋" w:eastAsia="仿宋" w:cs="仿宋"/>
                <w:snapToGrid w:val="0"/>
                <w:color w:val="auto"/>
                <w:kern w:val="28"/>
                <w:sz w:val="24"/>
                <w:u w:val="single"/>
              </w:rPr>
              <w:t xml:space="preserve"> </w:t>
            </w:r>
            <w:r>
              <w:rPr>
                <w:rFonts w:hint="eastAsia" w:ascii="仿宋" w:hAnsi="仿宋" w:eastAsia="仿宋" w:cs="仿宋"/>
                <w:color w:val="auto"/>
                <w:kern w:val="0"/>
                <w:sz w:val="24"/>
              </w:rPr>
              <w:t>；</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（3）样品的评审方法以及评审标准</w:t>
            </w:r>
            <w:r>
              <w:rPr>
                <w:rFonts w:hint="eastAsia" w:ascii="仿宋" w:hAnsi="仿宋" w:eastAsia="仿宋" w:cs="仿宋"/>
                <w:snapToGrid w:val="0"/>
                <w:color w:val="auto"/>
                <w:kern w:val="28"/>
                <w:sz w:val="24"/>
              </w:rPr>
              <w:t>：详见</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kern w:val="0"/>
                <w:sz w:val="24"/>
              </w:rPr>
              <w:t>；</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（4）是否需要随样品提交检测报告：</w:t>
            </w:r>
            <w:sdt>
              <w:sdtPr>
                <w:rPr>
                  <w:rFonts w:hint="eastAsia" w:ascii="仿宋" w:hAnsi="仿宋" w:eastAsia="仿宋" w:cs="仿宋"/>
                  <w:color w:val="auto"/>
                  <w:kern w:val="0"/>
                  <w:sz w:val="24"/>
                </w:rPr>
                <w:id w:val="1303421454"/>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00A8"/>
                </w:r>
              </w:sdtContent>
            </w:sdt>
            <w:r>
              <w:rPr>
                <w:rFonts w:hint="eastAsia" w:ascii="仿宋" w:hAnsi="仿宋" w:eastAsia="仿宋" w:cs="仿宋"/>
                <w:color w:val="auto"/>
                <w:kern w:val="0"/>
                <w:sz w:val="24"/>
              </w:rPr>
              <w:t>否；</w:t>
            </w:r>
            <w:sdt>
              <w:sdtPr>
                <w:rPr>
                  <w:rFonts w:hint="eastAsia" w:ascii="仿宋" w:hAnsi="仿宋" w:eastAsia="仿宋" w:cs="仿宋"/>
                  <w:color w:val="auto"/>
                  <w:kern w:val="0"/>
                  <w:sz w:val="24"/>
                </w:rPr>
                <w:id w:val="1621728433"/>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是，检测机构的要求</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；检测内容</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spacing w:line="360" w:lineRule="auto"/>
              <w:rPr>
                <w:rFonts w:hint="eastAsia" w:ascii="仿宋" w:hAnsi="仿宋" w:eastAsia="仿宋" w:cs="仿宋"/>
                <w:color w:val="auto"/>
                <w:sz w:val="24"/>
              </w:rPr>
            </w:pPr>
            <w:r>
              <w:rPr>
                <w:rFonts w:hint="eastAsia" w:ascii="仿宋" w:hAnsi="仿宋" w:eastAsia="仿宋" w:cs="仿宋"/>
                <w:b/>
                <w:bCs/>
                <w:color w:val="auto"/>
                <w:sz w:val="24"/>
              </w:rPr>
              <w:t>（5）</w:t>
            </w:r>
            <w:r>
              <w:rPr>
                <w:rFonts w:hint="eastAsia" w:ascii="仿宋" w:hAnsi="仿宋" w:eastAsia="仿宋" w:cs="仿宋"/>
                <w:b/>
                <w:bCs/>
                <w:color w:val="auto"/>
                <w:sz w:val="24"/>
                <w:u w:val="single"/>
              </w:rPr>
              <w:t>提供样品的时间：</w:t>
            </w:r>
            <w:r>
              <w:rPr>
                <w:rFonts w:hint="eastAsia" w:ascii="仿宋" w:hAnsi="仿宋" w:eastAsia="仿宋" w:cs="仿宋"/>
                <w:b/>
                <w:bCs/>
                <w:color w:val="auto"/>
                <w:sz w:val="24"/>
                <w:u w:val="single"/>
                <w:lang w:val="en-US" w:eastAsia="zh-CN"/>
              </w:rPr>
              <w:t xml:space="preserve">                    </w:t>
            </w:r>
            <w:r>
              <w:rPr>
                <w:rFonts w:hint="eastAsia" w:ascii="仿宋" w:hAnsi="仿宋" w:eastAsia="仿宋" w:cs="仿宋"/>
                <w:b/>
                <w:bCs/>
                <w:color w:val="auto"/>
                <w:sz w:val="24"/>
                <w:u w:val="single"/>
              </w:rPr>
              <w:t>。</w:t>
            </w:r>
            <w:r>
              <w:rPr>
                <w:rFonts w:hint="eastAsia" w:ascii="仿宋" w:hAnsi="仿宋" w:eastAsia="仿宋" w:cs="仿宋"/>
                <w:color w:val="auto"/>
                <w:sz w:val="24"/>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hint="eastAsia" w:ascii="仿宋" w:hAnsi="仿宋" w:eastAsia="仿宋" w:cs="仿宋"/>
                <w:b/>
                <w:color w:val="auto"/>
                <w:sz w:val="24"/>
              </w:rPr>
            </w:pPr>
            <w:r>
              <w:rPr>
                <w:rFonts w:hint="eastAsia" w:ascii="仿宋" w:hAnsi="仿宋" w:eastAsia="仿宋" w:cs="仿宋"/>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z w:val="24"/>
              </w:rPr>
            </w:pPr>
            <w:r>
              <w:rPr>
                <w:rFonts w:hint="eastAsia" w:ascii="仿宋" w:hAnsi="仿宋" w:eastAsia="仿宋" w:cs="仿宋"/>
                <w:b/>
                <w:color w:val="auto"/>
                <w:sz w:val="24"/>
              </w:rPr>
              <w:t>方案讲解演示</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kern w:val="0"/>
                <w:sz w:val="24"/>
              </w:rPr>
              <w:sym w:font="Wingdings" w:char="00FE"/>
            </w:r>
            <w:r>
              <w:rPr>
                <w:rFonts w:hint="eastAsia" w:ascii="仿宋" w:hAnsi="仿宋" w:eastAsia="仿宋" w:cs="仿宋"/>
                <w:color w:val="auto"/>
                <w:kern w:val="0"/>
                <w:sz w:val="24"/>
              </w:rPr>
              <w:t>A</w:t>
            </w:r>
            <w:r>
              <w:rPr>
                <w:rFonts w:hint="eastAsia" w:ascii="仿宋" w:hAnsi="仿宋" w:eastAsia="仿宋" w:cs="仿宋"/>
                <w:color w:val="auto"/>
                <w:sz w:val="24"/>
              </w:rPr>
              <w:t>不组织。</w:t>
            </w:r>
          </w:p>
          <w:p>
            <w:pPr>
              <w:spacing w:line="360" w:lineRule="auto"/>
              <w:rPr>
                <w:rFonts w:hint="eastAsia" w:ascii="仿宋" w:hAnsi="仿宋" w:eastAsia="仿宋" w:cs="仿宋"/>
                <w:color w:val="auto"/>
                <w:kern w:val="0"/>
                <w:sz w:val="24"/>
              </w:rPr>
            </w:pPr>
            <w:sdt>
              <w:sdtPr>
                <w:rPr>
                  <w:rFonts w:hint="eastAsia" w:ascii="仿宋" w:hAnsi="仿宋" w:eastAsia="仿宋" w:cs="仿宋"/>
                  <w:color w:val="auto"/>
                  <w:kern w:val="0"/>
                  <w:sz w:val="24"/>
                </w:rPr>
                <w:id w:val="1174071719"/>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B组织。</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（1）交易中心现场讲解演示。现场讲解地点为</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hint="eastAsia" w:ascii="仿宋" w:hAnsi="仿宋" w:eastAsia="仿宋" w:cs="仿宋"/>
                <w:b/>
                <w:color w:val="auto"/>
                <w:kern w:val="0"/>
                <w:sz w:val="24"/>
                <w:lang w:val="zh-CN"/>
              </w:rPr>
            </w:pPr>
            <w:r>
              <w:rPr>
                <w:rFonts w:hint="eastAsia" w:ascii="仿宋" w:hAnsi="仿宋" w:eastAsia="仿宋" w:cs="仿宋"/>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投标人应当提供的资格、资信证明文件</w:t>
            </w:r>
          </w:p>
        </w:tc>
        <w:tc>
          <w:tcPr>
            <w:tcW w:w="6813"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（1）资格证明文件：见招标文件第二部分11.1。</w:t>
            </w:r>
          </w:p>
          <w:p>
            <w:pPr>
              <w:spacing w:line="360" w:lineRule="auto"/>
              <w:rPr>
                <w:rFonts w:hint="eastAsia" w:ascii="仿宋" w:hAnsi="仿宋" w:eastAsia="仿宋" w:cs="仿宋"/>
                <w:snapToGrid w:val="0"/>
                <w:color w:val="auto"/>
                <w:kern w:val="0"/>
                <w:szCs w:val="21"/>
              </w:rPr>
            </w:pPr>
            <w:r>
              <w:rPr>
                <w:rFonts w:hint="eastAsia" w:ascii="仿宋" w:hAnsi="仿宋" w:eastAsia="仿宋" w:cs="仿宋"/>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6"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p>
        </w:tc>
        <w:tc>
          <w:tcPr>
            <w:tcW w:w="6813"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节能产品、环境标志产品</w:t>
            </w:r>
          </w:p>
        </w:tc>
        <w:tc>
          <w:tcPr>
            <w:tcW w:w="6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rPr>
            </w:pPr>
            <w:r>
              <w:rPr>
                <w:rFonts w:hint="eastAsia" w:ascii="仿宋" w:hAnsi="仿宋" w:eastAsia="仿宋" w:cs="仿宋"/>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报价要求</w:t>
            </w:r>
          </w:p>
        </w:tc>
        <w:tc>
          <w:tcPr>
            <w:tcW w:w="6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有关本项目实施所需的所有费用（含税费）均计入报价。</w:t>
            </w:r>
            <w:r>
              <w:rPr>
                <w:rFonts w:hint="eastAsia" w:ascii="仿宋" w:hAnsi="仿宋" w:eastAsia="仿宋" w:cs="仿宋"/>
                <w:b/>
                <w:bCs/>
                <w:color w:val="auto"/>
                <w:kern w:val="0"/>
                <w:sz w:val="24"/>
                <w:lang w:val="zh-CN"/>
              </w:rPr>
              <w:t>投标文件</w:t>
            </w:r>
            <w:r>
              <w:rPr>
                <w:rFonts w:hint="eastAsia" w:ascii="仿宋" w:hAnsi="仿宋" w:eastAsia="仿宋" w:cs="仿宋"/>
                <w:b/>
                <w:bCs/>
                <w:color w:val="auto"/>
                <w:sz w:val="24"/>
              </w:rPr>
              <w:t>开标一览表（报价表）是报价的唯一载体，如投标人在</w:t>
            </w:r>
            <w:r>
              <w:rPr>
                <w:rFonts w:hint="eastAsia" w:ascii="仿宋" w:hAnsi="仿宋" w:eastAsia="仿宋" w:cs="仿宋"/>
                <w:b/>
                <w:bCs/>
                <w:color w:val="auto"/>
                <w:sz w:val="24"/>
                <w:highlight w:val="none"/>
                <w:lang w:eastAsia="zh-CN"/>
              </w:rPr>
              <w:t>乐</w:t>
            </w:r>
            <w:r>
              <w:rPr>
                <w:rFonts w:hint="eastAsia" w:ascii="仿宋" w:hAnsi="仿宋" w:eastAsia="仿宋" w:cs="仿宋"/>
                <w:b/>
                <w:bCs/>
                <w:color w:val="auto"/>
                <w:sz w:val="24"/>
                <w:highlight w:val="none"/>
              </w:rPr>
              <w:t>采购</w:t>
            </w:r>
            <w:r>
              <w:rPr>
                <w:rFonts w:hint="eastAsia" w:ascii="仿宋" w:hAnsi="仿宋" w:eastAsia="仿宋" w:cs="仿宋"/>
                <w:b/>
                <w:bCs/>
                <w:color w:val="auto"/>
                <w:sz w:val="24"/>
              </w:rPr>
              <w:t>云平台填写的投标报价与投标文件报价文件中开标一览表（报价表）不一致的，以报价文件中开标一览表（报价表）为准。</w:t>
            </w:r>
            <w:r>
              <w:rPr>
                <w:rFonts w:hint="eastAsia" w:ascii="仿宋" w:hAnsi="仿宋" w:eastAsia="仿宋" w:cs="仿宋"/>
                <w:color w:val="auto"/>
                <w:kern w:val="0"/>
                <w:sz w:val="24"/>
                <w:lang w:val="zh-CN"/>
              </w:rPr>
              <w:t>投标文件中价格全部采用人民币报价。招标文件未列明，而投标人认为必需的费用也需列入报价。</w:t>
            </w:r>
          </w:p>
          <w:p>
            <w:pPr>
              <w:snapToGrid w:val="0"/>
              <w:spacing w:line="360" w:lineRule="auto"/>
              <w:jc w:val="left"/>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投标报价出现下列情形的，投标无效：</w:t>
            </w:r>
          </w:p>
          <w:p>
            <w:pPr>
              <w:snapToGrid w:val="0"/>
              <w:spacing w:line="360" w:lineRule="auto"/>
              <w:ind w:firstLine="241" w:firstLineChars="100"/>
              <w:jc w:val="left"/>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color w:val="auto"/>
                <w:kern w:val="0"/>
                <w:sz w:val="24"/>
                <w:lang w:val="zh-CN"/>
              </w:rPr>
            </w:pPr>
            <w:r>
              <w:rPr>
                <w:rFonts w:hint="eastAsia" w:ascii="仿宋" w:hAnsi="仿宋" w:eastAsia="仿宋" w:cs="仿宋"/>
                <w:b/>
                <w:color w:val="auto"/>
                <w:kern w:val="0"/>
                <w:sz w:val="24"/>
                <w:lang w:val="zh-CN"/>
              </w:rPr>
              <w:t>投标报价超过招标文件中规定的预算金额或者最高限价的;</w:t>
            </w:r>
          </w:p>
          <w:p>
            <w:pPr>
              <w:spacing w:line="360" w:lineRule="auto"/>
              <w:ind w:firstLine="241" w:firstLineChars="100"/>
              <w:rPr>
                <w:rFonts w:hint="eastAsia" w:ascii="仿宋" w:hAnsi="仿宋" w:eastAsia="仿宋" w:cs="仿宋"/>
                <w:b/>
                <w:color w:val="auto"/>
                <w:sz w:val="24"/>
              </w:rPr>
            </w:pPr>
            <w:r>
              <w:rPr>
                <w:rFonts w:hint="eastAsia" w:ascii="仿宋" w:hAnsi="仿宋" w:eastAsia="仿宋" w:cs="仿宋"/>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rPr>
              <w:t>;</w:t>
            </w:r>
          </w:p>
          <w:p>
            <w:pPr>
              <w:spacing w:line="360" w:lineRule="auto"/>
              <w:ind w:firstLine="241" w:firstLineChars="100"/>
              <w:rPr>
                <w:rFonts w:hint="eastAsia" w:ascii="仿宋" w:hAnsi="仿宋" w:eastAsia="仿宋" w:cs="仿宋"/>
                <w:color w:val="auto"/>
                <w:sz w:val="24"/>
              </w:rPr>
            </w:pPr>
            <w:r>
              <w:rPr>
                <w:rFonts w:hint="eastAsia" w:ascii="仿宋" w:hAnsi="仿宋" w:eastAsia="仿宋" w:cs="仿宋"/>
                <w:b/>
                <w:color w:val="auto"/>
                <w:kern w:val="0"/>
                <w:sz w:val="24"/>
              </w:rPr>
              <w:t>投标人对根据修正原则修正后的报价不确认的</w:t>
            </w:r>
            <w:r>
              <w:rPr>
                <w:rFonts w:hint="eastAsia" w:ascii="仿宋" w:hAnsi="仿宋" w:eastAsia="仿宋" w:cs="仿宋"/>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11</w:t>
            </w:r>
          </w:p>
        </w:tc>
        <w:tc>
          <w:tcPr>
            <w:tcW w:w="1843"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 xml:space="preserve">备份投标文件送达地点和签收人员 </w:t>
            </w:r>
          </w:p>
        </w:tc>
        <w:tc>
          <w:tcPr>
            <w:tcW w:w="6813" w:type="dxa"/>
            <w:tcBorders>
              <w:top w:val="single" w:color="000000" w:sz="8" w:space="0"/>
              <w:left w:val="single" w:color="000000" w:sz="2" w:space="0"/>
              <w:bottom w:val="single" w:color="auto" w:sz="4" w:space="0"/>
              <w:right w:val="single" w:color="000000" w:sz="8" w:space="0"/>
            </w:tcBorders>
            <w:vAlign w:val="center"/>
          </w:tcPr>
          <w:p>
            <w:pPr>
              <w:pStyle w:val="9"/>
              <w:snapToGrid w:val="0"/>
              <w:spacing w:before="120" w:after="120"/>
              <w:rPr>
                <w:rFonts w:hint="eastAsia" w:ascii="仿宋" w:hAnsi="仿宋" w:eastAsia="仿宋" w:cs="仿宋"/>
                <w:color w:val="auto"/>
                <w:kern w:val="28"/>
                <w:sz w:val="24"/>
                <w:szCs w:val="24"/>
              </w:rPr>
            </w:pPr>
            <w:r>
              <w:rPr>
                <w:rFonts w:hint="eastAsia" w:ascii="仿宋" w:hAnsi="仿宋" w:eastAsia="仿宋" w:cs="仿宋"/>
                <w:color w:val="auto"/>
                <w:kern w:val="28"/>
                <w:sz w:val="24"/>
                <w:szCs w:val="24"/>
              </w:rPr>
              <w:t>本项目实行电子投标。</w:t>
            </w:r>
          </w:p>
          <w:p>
            <w:pPr>
              <w:pStyle w:val="9"/>
              <w:snapToGrid w:val="0"/>
              <w:spacing w:before="120" w:after="120"/>
              <w:ind w:firstLine="360" w:firstLineChars="150"/>
              <w:rPr>
                <w:rFonts w:hint="eastAsia" w:ascii="仿宋" w:hAnsi="仿宋" w:eastAsia="仿宋" w:cs="仿宋"/>
                <w:color w:val="auto"/>
                <w:kern w:val="28"/>
                <w:sz w:val="24"/>
                <w:szCs w:val="24"/>
              </w:rPr>
            </w:pPr>
            <w:r>
              <w:rPr>
                <w:rFonts w:hint="eastAsia" w:ascii="仿宋" w:hAnsi="仿宋" w:eastAsia="仿宋" w:cs="仿宋"/>
                <w:color w:val="auto"/>
                <w:kern w:val="28"/>
                <w:sz w:val="24"/>
                <w:szCs w:val="24"/>
              </w:rPr>
              <w:t>1.供应商应准备电子投标文件、以介质存储的数据电文形式的备份投标文件两类：</w:t>
            </w:r>
          </w:p>
          <w:p>
            <w:pPr>
              <w:pStyle w:val="9"/>
              <w:snapToGrid w:val="0"/>
              <w:spacing w:before="120" w:after="120"/>
              <w:ind w:firstLine="240" w:firstLineChars="100"/>
              <w:rPr>
                <w:rFonts w:hint="eastAsia" w:ascii="仿宋" w:hAnsi="仿宋" w:eastAsia="仿宋" w:cs="仿宋"/>
                <w:color w:val="auto"/>
                <w:kern w:val="28"/>
                <w:sz w:val="24"/>
                <w:szCs w:val="24"/>
                <w:highlight w:val="none"/>
              </w:rPr>
            </w:pPr>
            <w:r>
              <w:rPr>
                <w:rFonts w:hint="eastAsia" w:ascii="仿宋" w:hAnsi="仿宋" w:eastAsia="仿宋" w:cs="仿宋"/>
                <w:color w:val="auto"/>
                <w:kern w:val="28"/>
                <w:sz w:val="24"/>
                <w:szCs w:val="24"/>
              </w:rPr>
              <w:t>（1）电子投标文件，</w:t>
            </w:r>
            <w:r>
              <w:rPr>
                <w:rFonts w:hint="eastAsia" w:ascii="仿宋" w:hAnsi="仿宋" w:eastAsia="仿宋" w:cs="仿宋"/>
                <w:color w:val="auto"/>
                <w:kern w:val="28"/>
                <w:sz w:val="24"/>
                <w:szCs w:val="24"/>
                <w:highlight w:val="none"/>
              </w:rPr>
              <w:t>按</w:t>
            </w:r>
            <w:r>
              <w:rPr>
                <w:rFonts w:hint="eastAsia" w:ascii="仿宋" w:hAnsi="仿宋" w:eastAsia="仿宋" w:cs="仿宋"/>
                <w:color w:val="auto"/>
                <w:kern w:val="28"/>
                <w:sz w:val="24"/>
                <w:szCs w:val="24"/>
                <w:highlight w:val="none"/>
                <w:lang w:eastAsia="zh-CN"/>
              </w:rPr>
              <w:t>乐</w:t>
            </w:r>
            <w:r>
              <w:rPr>
                <w:rFonts w:hint="eastAsia" w:ascii="仿宋" w:hAnsi="仿宋" w:eastAsia="仿宋" w:cs="仿宋"/>
                <w:color w:val="auto"/>
                <w:kern w:val="28"/>
                <w:sz w:val="24"/>
                <w:szCs w:val="24"/>
                <w:highlight w:val="none"/>
              </w:rPr>
              <w:t>采云平台项目采购-电子招投标操作指南及本招标文件要求递交。</w:t>
            </w:r>
          </w:p>
          <w:p>
            <w:pPr>
              <w:pStyle w:val="9"/>
              <w:snapToGrid w:val="0"/>
              <w:spacing w:before="120" w:after="120"/>
              <w:ind w:firstLine="240" w:firstLineChars="100"/>
              <w:rPr>
                <w:rFonts w:hint="eastAsia"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（2）以介质存储的数据电文形式的备份投标文件：按</w:t>
            </w:r>
            <w:r>
              <w:rPr>
                <w:rFonts w:hint="eastAsia" w:ascii="仿宋" w:hAnsi="仿宋" w:eastAsia="仿宋" w:cs="仿宋"/>
                <w:color w:val="auto"/>
                <w:kern w:val="28"/>
                <w:sz w:val="24"/>
                <w:szCs w:val="24"/>
                <w:highlight w:val="none"/>
                <w:lang w:eastAsia="zh-CN"/>
              </w:rPr>
              <w:t>乐</w:t>
            </w:r>
            <w:r>
              <w:rPr>
                <w:rFonts w:hint="eastAsia" w:ascii="仿宋" w:hAnsi="仿宋" w:eastAsia="仿宋" w:cs="仿宋"/>
                <w:color w:val="auto"/>
                <w:kern w:val="28"/>
                <w:sz w:val="24"/>
                <w:szCs w:val="24"/>
                <w:highlight w:val="none"/>
              </w:rPr>
              <w:t>采云平台项目采购-电子招投标操作指南制作备份投标文件（后缀名为.bfbs），在投标截止时间前以电子邮件形式递交至(</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"mailto:2990430955@qq.com" </w:instrText>
            </w:r>
            <w:r>
              <w:rPr>
                <w:rFonts w:hint="eastAsia" w:ascii="仿宋" w:hAnsi="仿宋" w:eastAsia="仿宋" w:cs="仿宋"/>
                <w:color w:val="auto"/>
                <w:highlight w:val="none"/>
              </w:rPr>
              <w:fldChar w:fldCharType="separate"/>
            </w:r>
            <w:r>
              <w:rPr>
                <w:rFonts w:hint="eastAsia" w:ascii="仿宋" w:hAnsi="仿宋" w:eastAsia="仿宋" w:cs="仿宋"/>
                <w:color w:val="auto"/>
                <w:kern w:val="28"/>
                <w:sz w:val="24"/>
                <w:szCs w:val="24"/>
                <w:highlight w:val="none"/>
                <w:lang w:val="en-US" w:eastAsia="zh-CN"/>
              </w:rPr>
              <w:t>601546348</w:t>
            </w:r>
            <w:r>
              <w:rPr>
                <w:rFonts w:hint="eastAsia" w:ascii="仿宋" w:hAnsi="仿宋" w:eastAsia="仿宋" w:cs="仿宋"/>
                <w:color w:val="auto"/>
                <w:kern w:val="28"/>
                <w:sz w:val="24"/>
                <w:szCs w:val="24"/>
                <w:highlight w:val="none"/>
              </w:rPr>
              <w:t>@qq.com</w:t>
            </w:r>
            <w:r>
              <w:rPr>
                <w:rFonts w:hint="eastAsia" w:ascii="仿宋" w:hAnsi="仿宋" w:eastAsia="仿宋" w:cs="仿宋"/>
                <w:color w:val="auto"/>
                <w:kern w:val="28"/>
                <w:sz w:val="24"/>
                <w:szCs w:val="24"/>
                <w:highlight w:val="none"/>
              </w:rPr>
              <w:fldChar w:fldCharType="end"/>
            </w:r>
            <w:r>
              <w:rPr>
                <w:rFonts w:hint="eastAsia" w:ascii="仿宋" w:hAnsi="仿宋" w:eastAsia="仿宋" w:cs="仿宋"/>
                <w:color w:val="auto"/>
                <w:kern w:val="28"/>
                <w:sz w:val="24"/>
                <w:szCs w:val="24"/>
                <w:highlight w:val="none"/>
              </w:rPr>
              <w:t>)。</w:t>
            </w:r>
          </w:p>
          <w:p>
            <w:pPr>
              <w:snapToGrid w:val="0"/>
              <w:ind w:firstLine="240" w:firstLineChars="100"/>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（3）投标文件启用顺序和效力。投标文件的启用，按先后顺位分别为电子投标文件、以介质存储的数据电文形式的备份投标文件。顺位在先的投标文件已按时解密的，备份投标文件自动失效。</w:t>
            </w:r>
          </w:p>
          <w:p>
            <w:pPr>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▲未传输递交电子投标文件的，投标无效。</w:t>
            </w:r>
          </w:p>
          <w:p>
            <w:pPr>
              <w:pStyle w:val="9"/>
              <w:spacing w:line="360" w:lineRule="auto"/>
              <w:rPr>
                <w:rFonts w:hint="eastAsia" w:ascii="仿宋" w:hAnsi="仿宋" w:eastAsia="仿宋" w:cs="仿宋"/>
                <w:color w:val="auto"/>
                <w:kern w:val="28"/>
                <w:sz w:val="24"/>
              </w:rPr>
            </w:pPr>
            <w:r>
              <w:rPr>
                <w:rFonts w:hint="eastAsia" w:ascii="仿宋" w:hAnsi="仿宋" w:eastAsia="仿宋" w:cs="仿宋"/>
                <w:color w:val="auto"/>
                <w:kern w:val="28"/>
                <w:sz w:val="24"/>
              </w:rPr>
              <w:t>▲未按规定提供相应的备份投标文件，造成项目开评标活动无法进行下去的，投标无效。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13</w:t>
            </w:r>
          </w:p>
        </w:tc>
        <w:tc>
          <w:tcPr>
            <w:tcW w:w="1843"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特别说明</w:t>
            </w:r>
          </w:p>
        </w:tc>
        <w:tc>
          <w:tcPr>
            <w:tcW w:w="681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tc>
        <w:tc>
          <w:tcPr>
            <w:tcW w:w="1843" w:type="dxa"/>
            <w:vMerge w:val="continue"/>
            <w:tcBorders>
              <w:left w:val="single" w:color="auto" w:sz="4" w:space="0"/>
              <w:right w:val="single" w:color="auto" w:sz="4" w:space="0"/>
            </w:tcBorders>
            <w:vAlign w:val="center"/>
          </w:tcPr>
          <w:p>
            <w:pPr>
              <w:snapToGrid w:val="0"/>
              <w:spacing w:line="360" w:lineRule="auto"/>
              <w:jc w:val="center"/>
              <w:rPr>
                <w:rFonts w:hint="eastAsia" w:ascii="仿宋" w:hAnsi="仿宋" w:eastAsia="仿宋" w:cs="仿宋"/>
                <w:b/>
                <w:color w:val="auto"/>
                <w:sz w:val="24"/>
              </w:rPr>
            </w:pPr>
          </w:p>
        </w:tc>
        <w:tc>
          <w:tcPr>
            <w:tcW w:w="681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napToGrid w:val="0"/>
                <w:color w:val="auto"/>
                <w:kern w:val="28"/>
                <w:sz w:val="24"/>
              </w:rPr>
            </w:pPr>
            <w:sdt>
              <w:sdtPr>
                <w:rPr>
                  <w:rFonts w:hint="eastAsia" w:ascii="仿宋" w:hAnsi="仿宋" w:eastAsia="仿宋" w:cs="仿宋"/>
                  <w:color w:val="auto"/>
                  <w:kern w:val="0"/>
                  <w:sz w:val="24"/>
                </w:rPr>
                <w:id w:val="-1"/>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snapToGrid w:val="0"/>
                <w:color w:val="auto"/>
                <w:kern w:val="28"/>
                <w:sz w:val="24"/>
              </w:rPr>
              <w:t>联合体投标的，联合体各方均需按招标文件第四部分评标标准要求提供资信证明文件，否则视为不符合相关要求。</w:t>
            </w:r>
          </w:p>
          <w:p>
            <w:pPr>
              <w:spacing w:line="360" w:lineRule="auto"/>
              <w:rPr>
                <w:rFonts w:hint="eastAsia" w:ascii="仿宋" w:hAnsi="仿宋" w:eastAsia="仿宋" w:cs="仿宋"/>
                <w:snapToGrid w:val="0"/>
                <w:color w:val="auto"/>
                <w:kern w:val="28"/>
                <w:sz w:val="24"/>
              </w:rPr>
            </w:pPr>
            <w:sdt>
              <w:sdtPr>
                <w:rPr>
                  <w:rFonts w:hint="eastAsia" w:ascii="仿宋" w:hAnsi="仿宋" w:eastAsia="仿宋" w:cs="仿宋"/>
                  <w:color w:val="auto"/>
                  <w:kern w:val="0"/>
                  <w:sz w:val="24"/>
                </w:rPr>
                <w:id w:val="1052570136"/>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00A8"/>
                </w:r>
              </w:sdtContent>
            </w:sdt>
            <w:r>
              <w:rPr>
                <w:rFonts w:hint="eastAsia" w:ascii="仿宋" w:hAnsi="仿宋" w:eastAsia="仿宋" w:cs="仿宋"/>
                <w:snapToGrid w:val="0"/>
                <w:color w:val="auto"/>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0" w:hRule="atLeast"/>
          <w:tblHeader/>
        </w:trPr>
        <w:tc>
          <w:tcPr>
            <w:tcW w:w="629" w:type="dxa"/>
            <w:vMerge w:val="continue"/>
            <w:tcBorders>
              <w:left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tc>
        <w:tc>
          <w:tcPr>
            <w:tcW w:w="1843" w:type="dxa"/>
            <w:vMerge w:val="continue"/>
            <w:tcBorders>
              <w:left w:val="single" w:color="auto" w:sz="4" w:space="0"/>
              <w:right w:val="single" w:color="auto" w:sz="4" w:space="0"/>
            </w:tcBorders>
            <w:vAlign w:val="center"/>
          </w:tcPr>
          <w:p>
            <w:pPr>
              <w:snapToGrid w:val="0"/>
              <w:spacing w:line="360" w:lineRule="auto"/>
              <w:jc w:val="center"/>
              <w:rPr>
                <w:rFonts w:hint="eastAsia" w:ascii="仿宋" w:hAnsi="仿宋" w:eastAsia="仿宋" w:cs="仿宋"/>
                <w:b/>
                <w:color w:val="auto"/>
                <w:sz w:val="24"/>
              </w:rPr>
            </w:pPr>
          </w:p>
        </w:tc>
        <w:tc>
          <w:tcPr>
            <w:tcW w:w="681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 w:val="0"/>
                <w:bCs w:val="0"/>
                <w:color w:val="auto"/>
                <w:kern w:val="0"/>
                <w:sz w:val="24"/>
              </w:rPr>
            </w:pPr>
            <w:r>
              <w:rPr>
                <w:rFonts w:hint="eastAsia" w:ascii="仿宋" w:hAnsi="仿宋" w:eastAsia="仿宋" w:cs="仿宋"/>
                <w:b w:val="0"/>
                <w:bCs w:val="0"/>
                <w:color w:val="auto"/>
                <w:sz w:val="24"/>
              </w:rPr>
              <w:t>本招标文件的解释权属于采购单位和委托代理机构。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0" w:hRule="atLeast"/>
          <w:tblHeader/>
        </w:trPr>
        <w:tc>
          <w:tcPr>
            <w:tcW w:w="629" w:type="dxa"/>
            <w:vMerge w:val="continue"/>
            <w:tcBorders>
              <w:left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tc>
        <w:tc>
          <w:tcPr>
            <w:tcW w:w="1843" w:type="dxa"/>
            <w:vMerge w:val="continue"/>
            <w:tcBorders>
              <w:left w:val="single" w:color="auto" w:sz="4" w:space="0"/>
              <w:right w:val="single" w:color="auto" w:sz="4" w:space="0"/>
            </w:tcBorders>
            <w:vAlign w:val="center"/>
          </w:tcPr>
          <w:p>
            <w:pPr>
              <w:snapToGrid w:val="0"/>
              <w:spacing w:line="360" w:lineRule="auto"/>
              <w:jc w:val="center"/>
              <w:rPr>
                <w:rFonts w:hint="eastAsia" w:ascii="仿宋" w:hAnsi="仿宋" w:eastAsia="仿宋" w:cs="仿宋"/>
                <w:b/>
                <w:color w:val="auto"/>
                <w:sz w:val="24"/>
              </w:rPr>
            </w:pPr>
          </w:p>
        </w:tc>
        <w:tc>
          <w:tcPr>
            <w:tcW w:w="681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 w:val="0"/>
                <w:bCs w:val="0"/>
                <w:color w:val="auto"/>
                <w:sz w:val="24"/>
              </w:rPr>
            </w:pPr>
            <w:r>
              <w:rPr>
                <w:rFonts w:hint="eastAsia" w:ascii="仿宋" w:hAnsi="仿宋" w:eastAsia="仿宋" w:cs="仿宋"/>
                <w:b/>
                <w:bCs/>
                <w:color w:val="auto"/>
                <w:sz w:val="24"/>
              </w:rPr>
              <w:t>如发现投标单位提供虚假材料参与我县国有企业采购投标活动的，无论中标与否，将取消该投标单位在本平台三年内的投标资格。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75"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tc>
        <w:tc>
          <w:tcPr>
            <w:tcW w:w="1843"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color w:val="auto"/>
                <w:sz w:val="24"/>
              </w:rPr>
            </w:pPr>
          </w:p>
        </w:tc>
        <w:tc>
          <w:tcPr>
            <w:tcW w:w="681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 w:val="0"/>
                <w:bCs w:val="0"/>
                <w:color w:val="auto"/>
                <w:sz w:val="24"/>
              </w:rPr>
            </w:pPr>
            <w:r>
              <w:rPr>
                <w:rFonts w:hint="eastAsia" w:ascii="仿宋" w:hAnsi="仿宋" w:eastAsia="仿宋" w:cs="仿宋"/>
                <w:snapToGrid w:val="0"/>
                <w:color w:val="auto"/>
                <w:kern w:val="28"/>
                <w:sz w:val="24"/>
              </w:rPr>
              <w:t>中标后提供纸质投标文件正本1份，副本1份。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招标代理服务费</w:t>
            </w:r>
          </w:p>
        </w:tc>
        <w:tc>
          <w:tcPr>
            <w:tcW w:w="6813" w:type="dxa"/>
            <w:tcBorders>
              <w:top w:val="single" w:color="auto" w:sz="4" w:space="0"/>
              <w:left w:val="single" w:color="auto" w:sz="4" w:space="0"/>
              <w:bottom w:val="single" w:color="auto" w:sz="4" w:space="0"/>
              <w:right w:val="single" w:color="auto" w:sz="4" w:space="0"/>
            </w:tcBorders>
            <w:vAlign w:val="center"/>
          </w:tcPr>
          <w:p>
            <w:pPr>
              <w:pStyle w:val="3"/>
              <w:rPr>
                <w:rFonts w:hint="eastAsia" w:ascii="仿宋" w:hAnsi="仿宋" w:eastAsia="仿宋" w:cs="仿宋"/>
                <w:color w:val="auto"/>
                <w:sz w:val="24"/>
              </w:rPr>
            </w:pPr>
            <w:r>
              <w:rPr>
                <w:rFonts w:hint="eastAsia" w:ascii="仿宋" w:hAnsi="仿宋" w:eastAsia="仿宋" w:cs="仿宋"/>
                <w:color w:val="auto"/>
                <w:sz w:val="24"/>
              </w:rPr>
              <w:t>本项目的招标代理服务费由中标人一次性向招标代理机构交付，由淳安县产权经纪有限公司统一代收。本项目根据淳国资办[2021]32号文《淳安县国有资产监督管理办公室关于明确国有产权交易、货物与服务采购收费标准及费用分配的通知》收取招标代理费</w:t>
            </w:r>
            <w:r>
              <w:rPr>
                <w:rFonts w:hint="eastAsia" w:ascii="仿宋" w:hAnsi="仿宋" w:eastAsia="仿宋" w:cs="仿宋"/>
                <w:color w:val="auto"/>
                <w:sz w:val="24"/>
                <w:highlight w:val="none"/>
              </w:rPr>
              <w:t>（收费附表见附件</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w:t>
            </w:r>
            <w:r>
              <w:rPr>
                <w:rFonts w:hint="eastAsia" w:ascii="仿宋" w:hAnsi="仿宋" w:eastAsia="仿宋" w:cs="仿宋"/>
                <w:color w:val="auto"/>
                <w:sz w:val="24"/>
              </w:rPr>
              <w:t>，其余按实收取,本项目采购评审费由采购单位支付。</w:t>
            </w:r>
          </w:p>
          <w:p>
            <w:pPr>
              <w:pStyle w:val="3"/>
              <w:rPr>
                <w:rFonts w:hint="eastAsia" w:ascii="仿宋" w:hAnsi="仿宋" w:eastAsia="仿宋" w:cs="仿宋"/>
                <w:color w:val="auto"/>
                <w:kern w:val="28"/>
                <w:szCs w:val="24"/>
                <w:highlight w:val="none"/>
                <w:lang w:val="en-US"/>
              </w:rPr>
            </w:pPr>
            <w:r>
              <w:rPr>
                <w:rFonts w:hint="eastAsia" w:ascii="仿宋" w:hAnsi="仿宋" w:eastAsia="仿宋" w:cs="仿宋"/>
                <w:color w:val="auto"/>
                <w:kern w:val="28"/>
                <w:szCs w:val="24"/>
                <w:highlight w:val="none"/>
                <w:lang w:val="en-US"/>
              </w:rPr>
              <w:t>户名：淳安县</w:t>
            </w:r>
            <w:r>
              <w:rPr>
                <w:rFonts w:hint="eastAsia" w:ascii="仿宋" w:hAnsi="仿宋" w:eastAsia="仿宋" w:cs="仿宋"/>
                <w:color w:val="auto"/>
                <w:kern w:val="28"/>
                <w:szCs w:val="24"/>
                <w:highlight w:val="none"/>
                <w:lang w:val="en-US" w:eastAsia="zh-CN"/>
              </w:rPr>
              <w:t>产权经纪有限公司</w:t>
            </w:r>
          </w:p>
          <w:p>
            <w:pPr>
              <w:pStyle w:val="9"/>
              <w:snapToGrid w:val="0"/>
              <w:spacing w:before="120" w:after="120"/>
              <w:rPr>
                <w:rFonts w:hint="eastAsia" w:ascii="仿宋" w:hAnsi="仿宋" w:eastAsia="仿宋" w:cs="仿宋"/>
                <w:color w:val="auto"/>
                <w:kern w:val="28"/>
                <w:sz w:val="24"/>
                <w:szCs w:val="24"/>
                <w:highlight w:val="none"/>
                <w:lang w:val="en-US" w:eastAsia="zh-CN"/>
              </w:rPr>
            </w:pPr>
            <w:r>
              <w:rPr>
                <w:rFonts w:hint="eastAsia" w:ascii="仿宋" w:hAnsi="仿宋" w:eastAsia="仿宋" w:cs="仿宋"/>
                <w:color w:val="auto"/>
                <w:kern w:val="28"/>
                <w:sz w:val="24"/>
                <w:szCs w:val="24"/>
                <w:highlight w:val="none"/>
              </w:rPr>
              <w:t>开</w:t>
            </w:r>
            <w:r>
              <w:rPr>
                <w:rFonts w:hint="eastAsia" w:ascii="仿宋" w:hAnsi="仿宋" w:eastAsia="仿宋" w:cs="仿宋"/>
                <w:snapToGrid w:val="0"/>
                <w:color w:val="auto"/>
                <w:kern w:val="28"/>
                <w:sz w:val="24"/>
                <w:szCs w:val="24"/>
                <w:highlight w:val="none"/>
                <w:lang w:val="en-US" w:eastAsia="zh-CN" w:bidi="ar-SA"/>
              </w:rPr>
              <w:t>户行：</w:t>
            </w:r>
            <w:r>
              <w:rPr>
                <w:rFonts w:hint="eastAsia" w:ascii="仿宋" w:hAnsi="仿宋" w:eastAsia="仿宋" w:cs="仿宋"/>
                <w:snapToGrid w:val="0"/>
                <w:color w:val="auto"/>
                <w:kern w:val="28"/>
                <w:sz w:val="24"/>
                <w:szCs w:val="24"/>
                <w:highlight w:val="none"/>
                <w:lang w:val="zh-CN" w:eastAsia="zh-CN" w:bidi="ar-SA"/>
              </w:rPr>
              <w:t>浙江淳安农村商业银行股份有限公司南山支行宏山分理处</w:t>
            </w:r>
          </w:p>
          <w:p>
            <w:pPr>
              <w:pStyle w:val="9"/>
              <w:snapToGrid w:val="0"/>
              <w:spacing w:before="120" w:after="120"/>
              <w:rPr>
                <w:rFonts w:hint="eastAsia"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账号：</w:t>
            </w:r>
            <w:r>
              <w:rPr>
                <w:rFonts w:hint="eastAsia" w:ascii="仿宋" w:hAnsi="仿宋" w:eastAsia="仿宋" w:cs="仿宋"/>
                <w:color w:val="auto"/>
                <w:kern w:val="28"/>
                <w:sz w:val="24"/>
                <w:szCs w:val="24"/>
                <w:highlight w:val="none"/>
                <w:lang w:val="en-US" w:eastAsia="zh-CN"/>
              </w:rPr>
              <w:t>201000141262838</w:t>
            </w:r>
            <w:r>
              <w:rPr>
                <w:rFonts w:hint="eastAsia" w:ascii="仿宋" w:hAnsi="仿宋" w:eastAsia="仿宋" w:cs="仿宋"/>
                <w:color w:val="auto"/>
                <w:kern w:val="28"/>
                <w:sz w:val="24"/>
                <w:szCs w:val="24"/>
                <w:highlight w:val="none"/>
              </w:rPr>
              <w:t>   </w:t>
            </w:r>
          </w:p>
          <w:p>
            <w:pPr>
              <w:snapToGrid w:val="0"/>
              <w:spacing w:line="360" w:lineRule="auto"/>
              <w:jc w:val="left"/>
              <w:rPr>
                <w:rFonts w:hint="eastAsia" w:ascii="仿宋" w:hAnsi="仿宋" w:eastAsia="仿宋" w:cs="仿宋"/>
                <w:snapToGrid w:val="0"/>
                <w:color w:val="auto"/>
                <w:kern w:val="28"/>
                <w:sz w:val="24"/>
                <w:highlight w:val="none"/>
                <w:lang w:val="en-US" w:eastAsia="zh-CN"/>
              </w:rPr>
            </w:pPr>
            <w:r>
              <w:rPr>
                <w:rFonts w:hint="eastAsia" w:ascii="仿宋" w:hAnsi="仿宋" w:eastAsia="仿宋" w:cs="仿宋"/>
                <w:snapToGrid w:val="0"/>
                <w:color w:val="auto"/>
                <w:kern w:val="28"/>
                <w:sz w:val="24"/>
                <w:highlight w:val="none"/>
              </w:rPr>
              <w:t>行号：</w:t>
            </w:r>
            <w:r>
              <w:rPr>
                <w:rFonts w:hint="eastAsia" w:ascii="仿宋" w:hAnsi="仿宋" w:eastAsia="仿宋" w:cs="仿宋"/>
                <w:snapToGrid w:val="0"/>
                <w:color w:val="auto"/>
                <w:kern w:val="28"/>
                <w:sz w:val="24"/>
                <w:highlight w:val="none"/>
                <w:lang w:val="en-US" w:eastAsia="zh-CN"/>
              </w:rPr>
              <w:t>402331008495</w:t>
            </w:r>
          </w:p>
          <w:p>
            <w:pPr>
              <w:spacing w:line="360" w:lineRule="auto"/>
              <w:rPr>
                <w:rFonts w:hint="eastAsia" w:ascii="仿宋" w:hAnsi="仿宋" w:eastAsia="仿宋" w:cs="仿宋"/>
                <w:color w:val="auto"/>
                <w:kern w:val="0"/>
                <w:sz w:val="24"/>
              </w:rPr>
            </w:pPr>
            <w:r>
              <w:rPr>
                <w:rFonts w:hint="eastAsia" w:ascii="仿宋" w:hAnsi="仿宋" w:eastAsia="仿宋" w:cs="仿宋"/>
                <w:snapToGrid w:val="0"/>
                <w:color w:val="auto"/>
                <w:kern w:val="28"/>
                <w:sz w:val="24"/>
              </w:rPr>
              <w:t>联系人：</w:t>
            </w:r>
            <w:r>
              <w:rPr>
                <w:rFonts w:hint="eastAsia" w:ascii="仿宋" w:hAnsi="仿宋" w:eastAsia="仿宋" w:cs="仿宋"/>
                <w:color w:val="auto"/>
                <w:sz w:val="24"/>
              </w:rPr>
              <w:t xml:space="preserve">周有英    </w:t>
            </w:r>
            <w:r>
              <w:rPr>
                <w:rFonts w:hint="eastAsia" w:ascii="仿宋" w:hAnsi="仿宋" w:eastAsia="仿宋" w:cs="仿宋"/>
                <w:snapToGrid w:val="0"/>
                <w:color w:val="auto"/>
                <w:kern w:val="28"/>
                <w:sz w:val="24"/>
              </w:rPr>
              <w:t>      联系电话：</w:t>
            </w:r>
            <w:r>
              <w:rPr>
                <w:rFonts w:hint="eastAsia" w:ascii="仿宋" w:hAnsi="仿宋" w:eastAsia="仿宋" w:cs="仿宋"/>
                <w:color w:val="auto"/>
                <w:sz w:val="24"/>
              </w:rPr>
              <w:t>0571-64880506</w:t>
            </w:r>
          </w:p>
        </w:tc>
      </w:tr>
    </w:tbl>
    <w:p>
      <w:pPr>
        <w:snapToGrid w:val="0"/>
        <w:spacing w:line="360" w:lineRule="auto"/>
        <w:jc w:val="center"/>
        <w:rPr>
          <w:rFonts w:hint="eastAsia" w:ascii="仿宋" w:hAnsi="仿宋" w:eastAsia="仿宋" w:cs="仿宋"/>
          <w:b/>
          <w:color w:val="auto"/>
          <w:sz w:val="32"/>
          <w:szCs w:val="20"/>
        </w:rPr>
      </w:pPr>
    </w:p>
    <w:bookmarkEnd w:id="9"/>
    <w:p>
      <w:pPr>
        <w:adjustRightInd/>
        <w:spacing w:line="360" w:lineRule="auto"/>
        <w:ind w:firstLine="3845" w:firstLineChars="1197"/>
        <w:outlineLvl w:val="0"/>
        <w:rPr>
          <w:rFonts w:hint="eastAsia" w:ascii="仿宋" w:hAnsi="仿宋" w:eastAsia="仿宋" w:cs="仿宋"/>
          <w:b/>
          <w:color w:val="auto"/>
          <w:sz w:val="32"/>
          <w:szCs w:val="20"/>
        </w:rPr>
      </w:pPr>
      <w:bookmarkStart w:id="11" w:name="_Toc164416483"/>
      <w:bookmarkStart w:id="12" w:name="第三部分"/>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p>
    <w:p>
      <w:pPr>
        <w:adjustRightInd/>
        <w:spacing w:line="360" w:lineRule="auto"/>
        <w:ind w:firstLine="3845" w:firstLineChars="1197"/>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一、总则</w:t>
      </w:r>
    </w:p>
    <w:p>
      <w:pPr>
        <w:pStyle w:val="3"/>
        <w:rPr>
          <w:rFonts w:hint="eastAsia" w:ascii="仿宋" w:hAnsi="仿宋" w:eastAsia="仿宋" w:cs="仿宋"/>
          <w:color w:val="auto"/>
        </w:rPr>
      </w:pPr>
    </w:p>
    <w:p>
      <w:pPr>
        <w:snapToGrid w:val="0"/>
        <w:spacing w:line="360" w:lineRule="auto"/>
        <w:ind w:firstLine="361" w:firstLineChars="150"/>
        <w:jc w:val="left"/>
        <w:outlineLvl w:val="1"/>
        <w:rPr>
          <w:rFonts w:hint="eastAsia" w:ascii="仿宋" w:hAnsi="仿宋" w:eastAsia="仿宋" w:cs="仿宋"/>
          <w:b/>
          <w:color w:val="auto"/>
          <w:sz w:val="24"/>
        </w:rPr>
      </w:pPr>
      <w:r>
        <w:rPr>
          <w:rFonts w:hint="eastAsia" w:ascii="仿宋" w:hAnsi="仿宋" w:eastAsia="仿宋" w:cs="仿宋"/>
          <w:b/>
          <w:color w:val="auto"/>
          <w:sz w:val="24"/>
        </w:rPr>
        <w:t>1. 适用范围</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rPr>
      </w:pPr>
      <w:r>
        <w:rPr>
          <w:rFonts w:hint="eastAsia" w:ascii="仿宋" w:hAnsi="仿宋" w:eastAsia="仿宋" w:cs="仿宋"/>
          <w:b/>
          <w:color w:val="auto"/>
          <w:sz w:val="24"/>
        </w:rPr>
        <w:t xml:space="preserve">   2.定义</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 “采购人”系指招标公告中载明的本项目的采购人。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 “采购代理机构”系指招标公告中载明的本项目的采购代理机构。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Pr>
          <w:rFonts w:hint="eastAsia" w:ascii="仿宋" w:hAnsi="仿宋" w:eastAsia="仿宋" w:cs="仿宋"/>
          <w:color w:val="auto"/>
          <w:sz w:val="24"/>
          <w:lang w:val="en-US" w:eastAsia="zh-CN"/>
        </w:rPr>
        <w:t>5</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rPr>
        <w:t>2.6“电子交易平台”系指本项目采购活动所依托的</w:t>
      </w:r>
      <w:r>
        <w:rPr>
          <w:rFonts w:hint="eastAsia" w:ascii="仿宋" w:hAnsi="仿宋" w:eastAsia="仿宋" w:cs="仿宋"/>
          <w:color w:val="auto"/>
          <w:sz w:val="24"/>
          <w:highlight w:val="none"/>
          <w:lang w:eastAsia="zh-CN"/>
        </w:rPr>
        <w:t>乐</w:t>
      </w:r>
      <w:r>
        <w:rPr>
          <w:rFonts w:hint="eastAsia" w:ascii="仿宋" w:hAnsi="仿宋" w:eastAsia="仿宋" w:cs="仿宋"/>
          <w:color w:val="auto"/>
          <w:sz w:val="24"/>
          <w:highlight w:val="none"/>
        </w:rPr>
        <w:t>采云平台（https://www.</w:t>
      </w:r>
      <w:r>
        <w:rPr>
          <w:rFonts w:hint="eastAsia" w:ascii="仿宋" w:hAnsi="仿宋" w:eastAsia="仿宋" w:cs="仿宋"/>
          <w:color w:val="auto"/>
          <w:sz w:val="24"/>
          <w:highlight w:val="none"/>
          <w:lang w:val="en-US" w:eastAsia="zh-CN"/>
        </w:rPr>
        <w:t>lecaiyun.com</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2.7 “▲” 系指实质性要求条款，“</w:t>
      </w:r>
      <w:sdt>
        <w:sdtPr>
          <w:rPr>
            <w:rFonts w:hint="eastAsia" w:ascii="仿宋" w:hAnsi="仿宋" w:eastAsia="仿宋" w:cs="仿宋"/>
            <w:color w:val="auto"/>
            <w:kern w:val="0"/>
            <w:sz w:val="24"/>
          </w:rPr>
          <w:id w:val="512970236"/>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 系指适用本项目的要求，“</w:t>
      </w:r>
      <w:sdt>
        <w:sdtPr>
          <w:rPr>
            <w:rFonts w:hint="eastAsia" w:ascii="仿宋" w:hAnsi="仿宋" w:eastAsia="仿宋" w:cs="仿宋"/>
            <w:color w:val="auto"/>
            <w:kern w:val="0"/>
            <w:sz w:val="24"/>
          </w:rPr>
          <w:id w:val="404888855"/>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 系指不适用本项目的要求。</w:t>
      </w:r>
    </w:p>
    <w:p>
      <w:pPr>
        <w:spacing w:line="360" w:lineRule="auto"/>
        <w:ind w:firstLine="241" w:firstLineChars="100"/>
        <w:rPr>
          <w:rFonts w:hint="eastAsia" w:ascii="仿宋" w:hAnsi="仿宋" w:eastAsia="仿宋" w:cs="仿宋"/>
          <w:b/>
          <w:color w:val="auto"/>
          <w:sz w:val="24"/>
        </w:rPr>
      </w:pPr>
      <w:r>
        <w:rPr>
          <w:rFonts w:hint="eastAsia" w:ascii="仿宋" w:hAnsi="仿宋" w:eastAsia="仿宋" w:cs="仿宋"/>
          <w:b/>
          <w:color w:val="auto"/>
          <w:sz w:val="24"/>
        </w:rPr>
        <w:t>3.</w:t>
      </w:r>
      <w:r>
        <w:rPr>
          <w:rFonts w:hint="eastAsia" w:ascii="仿宋" w:hAnsi="仿宋" w:eastAsia="仿宋" w:cs="仿宋"/>
          <w:color w:val="auto"/>
        </w:rPr>
        <w:t xml:space="preserve"> </w:t>
      </w:r>
      <w:r>
        <w:rPr>
          <w:rFonts w:hint="eastAsia" w:ascii="仿宋" w:hAnsi="仿宋" w:eastAsia="仿宋" w:cs="仿宋"/>
          <w:b/>
          <w:color w:val="auto"/>
          <w:sz w:val="24"/>
        </w:rPr>
        <w:t>采购项目需要落实的采购政策</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3.1 本项目原则上采购本国生产的货物、工程和服务，不允许采购进口产品。除非采购人采购进口产品，已经在采购活动开始前向</w:t>
      </w:r>
      <w:r>
        <w:rPr>
          <w:rFonts w:hint="eastAsia" w:ascii="仿宋" w:hAnsi="仿宋" w:eastAsia="仿宋" w:cs="仿宋"/>
          <w:color w:val="auto"/>
          <w:sz w:val="24"/>
          <w:highlight w:val="none"/>
          <w:lang w:eastAsia="zh-CN"/>
        </w:rPr>
        <w:t>县</w:t>
      </w:r>
      <w:r>
        <w:rPr>
          <w:rFonts w:hint="eastAsia" w:ascii="仿宋" w:hAnsi="仿宋" w:eastAsia="仿宋" w:cs="仿宋"/>
          <w:color w:val="auto"/>
          <w:sz w:val="24"/>
          <w:highlight w:val="none"/>
        </w:rPr>
        <w:t>财政</w:t>
      </w:r>
      <w:r>
        <w:rPr>
          <w:rFonts w:hint="eastAsia" w:ascii="仿宋" w:hAnsi="仿宋" w:eastAsia="仿宋" w:cs="仿宋"/>
          <w:color w:val="auto"/>
          <w:sz w:val="24"/>
          <w:highlight w:val="none"/>
          <w:lang w:eastAsia="zh-CN"/>
        </w:rPr>
        <w:t>局（国资办）</w:t>
      </w:r>
      <w:r>
        <w:rPr>
          <w:rFonts w:hint="eastAsia" w:ascii="仿宋" w:hAnsi="仿宋" w:eastAsia="仿宋" w:cs="仿宋"/>
          <w:color w:val="auto"/>
          <w:sz w:val="24"/>
        </w:rPr>
        <w:t>提出申请并获得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仿宋" w:hAnsi="仿宋" w:eastAsia="仿宋" w:cs="仿宋"/>
          <w:color w:val="auto"/>
          <w:kern w:val="0"/>
          <w:sz w:val="24"/>
        </w:rPr>
        <w:t>优先采购向我国企业转让技术、与我国企业签订消化吸收再创新方案的供应商的进口产品</w:t>
      </w:r>
      <w:r>
        <w:rPr>
          <w:rFonts w:hint="eastAsia" w:ascii="仿宋" w:hAnsi="仿宋" w:eastAsia="仿宋" w:cs="仿宋"/>
          <w:color w:val="auto"/>
          <w:sz w:val="24"/>
        </w:rPr>
        <w:t>。</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3.2 支持绿色发展</w:t>
      </w:r>
    </w:p>
    <w:p>
      <w:pPr>
        <w:spacing w:line="360" w:lineRule="auto"/>
        <w:ind w:firstLine="480" w:firstLineChars="200"/>
        <w:rPr>
          <w:rFonts w:hint="eastAsia" w:ascii="仿宋" w:hAnsi="仿宋" w:eastAsia="仿宋" w:cs="仿宋"/>
          <w:b/>
          <w:color w:val="auto"/>
          <w:sz w:val="24"/>
        </w:rPr>
      </w:pPr>
      <w:r>
        <w:rPr>
          <w:rFonts w:hint="eastAsia" w:ascii="仿宋" w:hAnsi="仿宋" w:eastAsia="仿宋" w:cs="仿宋"/>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3.2.</w:t>
      </w:r>
      <w:r>
        <w:rPr>
          <w:rFonts w:hint="eastAsia" w:ascii="仿宋" w:hAnsi="仿宋" w:eastAsia="仿宋" w:cs="仿宋"/>
          <w:color w:val="auto"/>
          <w:sz w:val="24"/>
          <w:lang w:val="en-US" w:eastAsia="zh-CN"/>
        </w:rPr>
        <w:t>2</w:t>
      </w:r>
      <w:r>
        <w:rPr>
          <w:rFonts w:hint="eastAsia" w:ascii="仿宋" w:hAnsi="仿宋" w:eastAsia="仿宋" w:cs="仿宋"/>
          <w:color w:val="auto"/>
          <w:sz w:val="24"/>
        </w:rPr>
        <w:t>为助力打好污染防治攻坚战，推广使用绿色包装，采购货物、工程和服务项目中涉及商品包装和快递包装的，供应商提供产品及相关快递服务的具体包装要求要参考《商品包装政府采购需求标准（试行）》、《快递包装政府采购需求标准（试行）》。</w:t>
      </w:r>
      <w:bookmarkStart w:id="13" w:name="_Hlk107568539"/>
      <w:r>
        <w:rPr>
          <w:rFonts w:hint="eastAsia" w:ascii="仿宋" w:hAnsi="仿宋" w:eastAsia="仿宋" w:cs="仿宋"/>
          <w:color w:val="auto"/>
          <w:sz w:val="24"/>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3.2.</w:t>
      </w:r>
      <w:r>
        <w:rPr>
          <w:rFonts w:hint="eastAsia" w:ascii="仿宋" w:hAnsi="仿宋" w:eastAsia="仿宋" w:cs="仿宋"/>
          <w:color w:val="auto"/>
          <w:sz w:val="24"/>
          <w:lang w:val="en-US" w:eastAsia="zh-CN"/>
        </w:rPr>
        <w:t>3</w:t>
      </w:r>
      <w:r>
        <w:rPr>
          <w:rFonts w:hint="eastAsia" w:ascii="仿宋" w:hAnsi="仿宋" w:eastAsia="仿宋" w:cs="仿宋"/>
          <w:color w:val="auto"/>
          <w:sz w:val="24"/>
        </w:rPr>
        <w:t xml:space="preserve"> 鼓励供应商在参加采购过程中开展绿色设计、选择绿色材料、打造绿色制造工艺、开展绿色运输、做好废弃产品回收处理，实现产品全周期的绿色环保。鼓励采购单位对其提高预付款比例、免收履约保证金。</w:t>
      </w:r>
      <w:bookmarkEnd w:id="13"/>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3.3支持中小企业发展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符合中小企业划分标准的个体工商户，在采购活动中视同中小企业。</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bCs/>
          <w:color w:val="auto"/>
          <w:sz w:val="24"/>
        </w:rPr>
        <w:t>3.3.2</w:t>
      </w:r>
      <w:r>
        <w:rPr>
          <w:rFonts w:hint="eastAsia" w:ascii="仿宋" w:hAnsi="仿宋" w:eastAsia="仿宋" w:cs="仿宋"/>
          <w:color w:val="auto"/>
          <w:kern w:val="0"/>
          <w:sz w:val="24"/>
        </w:rPr>
        <w:t>在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以联合体形式参加采购活动，联合体各方均为中小企业的，联合体视同中小企业。其中，联合体各方均为小微企业的，联合体视同小微企业。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3.3.3对于未预留份额专门面向中小企业的采购货物项目</w:t>
      </w:r>
      <w:r>
        <w:rPr>
          <w:rFonts w:hint="eastAsia" w:ascii="仿宋" w:hAnsi="仿宋" w:eastAsia="仿宋" w:cs="仿宋"/>
          <w:color w:val="auto"/>
          <w:sz w:val="24"/>
          <w:highlight w:val="none"/>
        </w:rPr>
        <w:t>，以及预留份额采购货物项目中的非预留部分标项，对小型和微型企业的投标报价给予</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的扣除，用扣除后的价格参与评审。接受大中型企业与小微企业组成联合体或者允许大中型企业向一家或者多家小微企业分包的采购货物项目，对于</w:t>
      </w:r>
      <w:bookmarkStart w:id="14" w:name="_Hlk101132181"/>
      <w:r>
        <w:rPr>
          <w:rFonts w:hint="eastAsia" w:ascii="仿宋" w:hAnsi="仿宋" w:eastAsia="仿宋" w:cs="仿宋"/>
          <w:color w:val="auto"/>
          <w:sz w:val="24"/>
          <w:highlight w:val="none"/>
        </w:rPr>
        <w:t>联合协议或者分包意向协议约定小微企业的合同份额占到合同总金额30%以上的</w:t>
      </w:r>
      <w:bookmarkEnd w:id="14"/>
      <w:r>
        <w:rPr>
          <w:rFonts w:hint="eastAsia" w:ascii="仿宋" w:hAnsi="仿宋" w:eastAsia="仿宋" w:cs="仿宋"/>
          <w:color w:val="auto"/>
          <w:sz w:val="24"/>
          <w:highlight w:val="none"/>
        </w:rPr>
        <w:t>，对联合体或者大中型企业的报价给予</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的扣除，用扣除后的价格参加评审。组成联合体或者接受分包的小微企业与联合体内其他</w:t>
      </w:r>
      <w:r>
        <w:rPr>
          <w:rFonts w:hint="eastAsia" w:ascii="仿宋" w:hAnsi="仿宋" w:eastAsia="仿宋" w:cs="仿宋"/>
          <w:color w:val="auto"/>
          <w:sz w:val="24"/>
        </w:rPr>
        <w:t>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3.3.7中小企业享受扶持政策获得采购合同的，小微企业不得将合同分包给大中型企业，中型企业不得将合同分包给大型企业。</w:t>
      </w:r>
    </w:p>
    <w:p>
      <w:pPr>
        <w:spacing w:line="360" w:lineRule="auto"/>
        <w:ind w:firstLine="422" w:firstLineChars="200"/>
        <w:rPr>
          <w:rFonts w:hint="eastAsia" w:ascii="仿宋" w:hAnsi="仿宋" w:eastAsia="仿宋" w:cs="仿宋"/>
          <w:b/>
          <w:color w:val="auto"/>
        </w:rPr>
      </w:pPr>
      <w:r>
        <w:rPr>
          <w:rFonts w:hint="eastAsia" w:ascii="仿宋" w:hAnsi="仿宋" w:eastAsia="仿宋" w:cs="仿宋"/>
          <w:b/>
          <w:color w:val="auto"/>
        </w:rPr>
        <w:t>4. 询问、质疑、投诉</w:t>
      </w:r>
    </w:p>
    <w:p>
      <w:pPr>
        <w:autoSpaceDE w:val="0"/>
        <w:autoSpaceDN w:val="0"/>
        <w:spacing w:line="360" w:lineRule="auto"/>
        <w:ind w:firstLine="240" w:firstLineChars="1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4.2供应商询问</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供应商对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4.3供应商质疑</w:t>
      </w:r>
    </w:p>
    <w:p>
      <w:pPr>
        <w:pStyle w:val="9"/>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4.3</w:t>
      </w:r>
      <w:r>
        <w:rPr>
          <w:rFonts w:hint="eastAsia" w:ascii="仿宋" w:hAnsi="仿宋" w:eastAsia="仿宋" w:cs="仿宋"/>
          <w:color w:val="auto"/>
          <w:sz w:val="24"/>
        </w:rPr>
        <w:t>.1提出质疑的供应商应当是参与所质疑项目采购活动的供应商。潜在供应商已依法获取其可质疑的招标文件的，可以对该文件提出质疑。</w:t>
      </w:r>
    </w:p>
    <w:p>
      <w:pPr>
        <w:pStyle w:val="9"/>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4.3</w:t>
      </w:r>
      <w:r>
        <w:rPr>
          <w:rFonts w:hint="eastAsia" w:ascii="仿宋" w:hAnsi="仿宋" w:eastAsia="仿宋" w:cs="仿宋"/>
          <w:color w:val="auto"/>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8"/>
        <w:spacing w:line="360" w:lineRule="auto"/>
        <w:ind w:firstLine="480" w:firstLineChars="200"/>
        <w:rPr>
          <w:rFonts w:hint="eastAsia" w:ascii="仿宋" w:hAnsi="仿宋" w:eastAsia="仿宋" w:cs="仿宋"/>
          <w:snapToGrid/>
          <w:color w:val="auto"/>
          <w:kern w:val="2"/>
          <w:sz w:val="24"/>
        </w:rPr>
      </w:pPr>
      <w:r>
        <w:rPr>
          <w:rFonts w:hint="eastAsia" w:ascii="仿宋" w:hAnsi="仿宋" w:eastAsia="仿宋" w:cs="仿宋"/>
          <w:snapToGrid/>
          <w:color w:val="auto"/>
          <w:kern w:val="2"/>
          <w:sz w:val="24"/>
        </w:rPr>
        <w:t>4.3.2.1对招标文件提出质疑的，质疑期限为供应商获得招标文件之日或者招标文件公告期限届满之日起计算。</w:t>
      </w:r>
    </w:p>
    <w:p>
      <w:pPr>
        <w:pStyle w:val="9"/>
        <w:spacing w:line="360" w:lineRule="auto"/>
        <w:ind w:left="479" w:leftChars="228"/>
        <w:rPr>
          <w:rFonts w:hint="eastAsia" w:ascii="仿宋" w:hAnsi="仿宋" w:eastAsia="仿宋" w:cs="仿宋"/>
          <w:color w:val="auto"/>
          <w:sz w:val="24"/>
        </w:rPr>
      </w:pPr>
      <w:r>
        <w:rPr>
          <w:rFonts w:hint="eastAsia" w:ascii="仿宋" w:hAnsi="仿宋" w:eastAsia="仿宋" w:cs="仿宋"/>
          <w:color w:val="auto"/>
          <w:sz w:val="24"/>
        </w:rPr>
        <w:t>4.3.2.2对采购过程提出质疑的，质疑期限为各采购程序环节结束之日起计算。4.3.2.3对采购结果提出质疑的，质疑期限自采购结果公告期限届满之日起计算。</w:t>
      </w:r>
    </w:p>
    <w:p>
      <w:pPr>
        <w:pStyle w:val="9"/>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4.3.3</w:t>
      </w:r>
      <w:r>
        <w:rPr>
          <w:rFonts w:hint="eastAsia" w:ascii="仿宋" w:hAnsi="仿宋" w:eastAsia="仿宋" w:cs="仿宋"/>
          <w:color w:val="auto"/>
          <w:sz w:val="24"/>
        </w:rPr>
        <w:t>供应商提出质疑应当提交质疑函和必要的证明材料。质疑函应当包括下列内容：</w:t>
      </w:r>
    </w:p>
    <w:p>
      <w:pPr>
        <w:pStyle w:val="9"/>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4.3.3.1供应商的姓名或者名称、地址、邮编、联系人及联系电话；</w:t>
      </w:r>
    </w:p>
    <w:p>
      <w:pPr>
        <w:pStyle w:val="9"/>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4.3.3.2质疑项目的名称、编号；</w:t>
      </w:r>
    </w:p>
    <w:p>
      <w:pPr>
        <w:pStyle w:val="9"/>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4.3.3.3具体、明确的质疑事项和与质疑事项相关的请求；</w:t>
      </w:r>
    </w:p>
    <w:p>
      <w:pPr>
        <w:pStyle w:val="9"/>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4.3.3.4事实依据；</w:t>
      </w:r>
    </w:p>
    <w:p>
      <w:pPr>
        <w:pStyle w:val="9"/>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4.3.3.5必要的法律依据；</w:t>
      </w:r>
    </w:p>
    <w:p>
      <w:pPr>
        <w:pStyle w:val="9"/>
        <w:spacing w:line="360" w:lineRule="auto"/>
        <w:ind w:firstLine="960" w:firstLineChars="4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4.3.3.6提出质疑的日期。</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质疑函范本及制作说明详见附件</w:t>
      </w:r>
      <w:r>
        <w:rPr>
          <w:rFonts w:hint="eastAsia" w:ascii="仿宋" w:hAnsi="仿宋" w:eastAsia="仿宋" w:cs="仿宋"/>
          <w:color w:val="auto"/>
          <w:lang w:val="en-US" w:eastAsia="zh-CN"/>
        </w:rPr>
        <w:t>3</w:t>
      </w:r>
      <w:r>
        <w:rPr>
          <w:rFonts w:hint="eastAsia" w:ascii="仿宋" w:hAnsi="仿宋" w:eastAsia="仿宋" w:cs="仿宋"/>
          <w:color w:val="auto"/>
        </w:rPr>
        <w:t>。</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lang w:val="zh-CN"/>
        </w:rPr>
        <w:t>4.3</w:t>
      </w:r>
      <w:r>
        <w:rPr>
          <w:rFonts w:hint="eastAsia" w:ascii="仿宋" w:hAnsi="仿宋" w:eastAsia="仿宋" w:cs="仿宋"/>
          <w:color w:val="auto"/>
        </w:rPr>
        <w:t>.5采购人或者采购代理机构应当在收到供应商的书面质疑后七个工作日内作出答复，并以书面形式通知质疑供应商和其他与质疑处理结果有利害关系的采购当事人，但答复的内容不得涉及商业秘密。</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lang w:val="zh-CN"/>
        </w:rPr>
        <w:t>4.3</w:t>
      </w:r>
      <w:r>
        <w:rPr>
          <w:rFonts w:hint="eastAsia" w:ascii="仿宋" w:hAnsi="仿宋" w:eastAsia="仿宋" w:cs="仿宋"/>
          <w:color w:val="auto"/>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hint="eastAsia" w:ascii="仿宋" w:hAnsi="仿宋" w:eastAsia="仿宋" w:cs="仿宋"/>
          <w:color w:val="auto"/>
          <w:lang w:val="zh-CN"/>
        </w:rPr>
      </w:pPr>
      <w:r>
        <w:rPr>
          <w:rFonts w:hint="eastAsia" w:ascii="仿宋" w:hAnsi="仿宋" w:eastAsia="仿宋" w:cs="仿宋"/>
          <w:color w:val="auto"/>
          <w:lang w:val="zh-CN"/>
        </w:rPr>
        <w:t>4.4供应商投诉</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4.4.1质疑供应商对采购人、采购代理机构的答复不满意或者采购人、采购代理机构未在规定的时间内作出答复的，可以在答复期满后十五个工作日内向</w:t>
      </w:r>
      <w:r>
        <w:rPr>
          <w:rFonts w:hint="eastAsia" w:ascii="仿宋" w:hAnsi="仿宋" w:eastAsia="仿宋" w:cs="仿宋"/>
          <w:color w:val="auto"/>
          <w:highlight w:val="none"/>
          <w:lang w:eastAsia="zh-CN"/>
        </w:rPr>
        <w:t>采购单位纪检监察</w:t>
      </w:r>
      <w:r>
        <w:rPr>
          <w:rFonts w:hint="eastAsia" w:ascii="仿宋" w:hAnsi="仿宋" w:eastAsia="仿宋" w:cs="仿宋"/>
          <w:color w:val="auto"/>
          <w:highlight w:val="none"/>
        </w:rPr>
        <w:t>部门</w:t>
      </w:r>
      <w:r>
        <w:rPr>
          <w:rFonts w:hint="eastAsia" w:ascii="仿宋" w:hAnsi="仿宋" w:eastAsia="仿宋" w:cs="仿宋"/>
          <w:color w:val="auto"/>
        </w:rPr>
        <w:t>提出投诉。</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4.4.</w:t>
      </w:r>
      <w:r>
        <w:rPr>
          <w:rFonts w:hint="eastAsia" w:ascii="仿宋" w:hAnsi="仿宋" w:eastAsia="仿宋" w:cs="仿宋"/>
          <w:color w:val="auto"/>
          <w:lang w:val="zh-CN"/>
        </w:rPr>
        <w:t>2</w:t>
      </w:r>
      <w:r>
        <w:rPr>
          <w:rFonts w:hint="eastAsia" w:ascii="仿宋" w:hAnsi="仿宋" w:eastAsia="仿宋" w:cs="仿宋"/>
          <w:color w:val="auto"/>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4.4.3供应商投诉应当有明确的请求和必要的证明材料。</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4.4.4 以联合体形式参加采购活动的，其投诉应当由组成联合体的所有供应商共同提出。</w:t>
      </w:r>
    </w:p>
    <w:p>
      <w:pPr>
        <w:pStyle w:val="887"/>
        <w:shd w:val="clear" w:color="auto" w:fill="FFFFFF"/>
        <w:snapToGrid w:val="0"/>
        <w:spacing w:after="240" w:afterAutospacing="0" w:line="360" w:lineRule="auto"/>
        <w:ind w:firstLine="480" w:firstLineChars="200"/>
        <w:contextualSpacing/>
        <w:rPr>
          <w:rFonts w:hint="eastAsia" w:ascii="仿宋" w:hAnsi="仿宋" w:eastAsia="仿宋" w:cs="仿宋"/>
          <w:color w:val="auto"/>
        </w:rPr>
      </w:pPr>
      <w:r>
        <w:rPr>
          <w:rFonts w:hint="eastAsia" w:ascii="仿宋" w:hAnsi="仿宋" w:eastAsia="仿宋" w:cs="仿宋"/>
          <w:color w:val="auto"/>
        </w:rPr>
        <w:t>4.4.5投诉书范本及制作说明详见附件</w:t>
      </w:r>
      <w:r>
        <w:rPr>
          <w:rFonts w:hint="eastAsia" w:ascii="仿宋" w:hAnsi="仿宋" w:eastAsia="仿宋" w:cs="仿宋"/>
          <w:color w:val="auto"/>
          <w:lang w:val="en-US" w:eastAsia="zh-CN"/>
        </w:rPr>
        <w:t>4</w:t>
      </w:r>
      <w:r>
        <w:rPr>
          <w:rFonts w:hint="eastAsia" w:ascii="仿宋" w:hAnsi="仿宋" w:eastAsia="仿宋" w:cs="仿宋"/>
          <w:color w:val="auto"/>
        </w:rPr>
        <w:t>。</w:t>
      </w:r>
    </w:p>
    <w:p>
      <w:pPr>
        <w:pStyle w:val="132"/>
        <w:snapToGrid w:val="0"/>
        <w:spacing w:before="0"/>
        <w:ind w:firstLine="360"/>
        <w:rPr>
          <w:rFonts w:hint="eastAsia" w:ascii="仿宋" w:hAnsi="仿宋" w:eastAsia="仿宋" w:cs="仿宋"/>
          <w:color w:val="auto"/>
          <w:sz w:val="18"/>
          <w:szCs w:val="18"/>
        </w:rPr>
      </w:pPr>
    </w:p>
    <w:p>
      <w:pPr>
        <w:adjustRightInd/>
        <w:spacing w:line="360" w:lineRule="auto"/>
        <w:jc w:val="center"/>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 xml:space="preserve">      二、招标文件的构成、澄清、修改</w:t>
      </w:r>
    </w:p>
    <w:p>
      <w:pPr>
        <w:pStyle w:val="9"/>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5．招标文件的构成</w:t>
      </w:r>
    </w:p>
    <w:p>
      <w:pPr>
        <w:pStyle w:val="9"/>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5.1 招标文件包括下列文件及附件：</w:t>
      </w:r>
    </w:p>
    <w:p>
      <w:pPr>
        <w:pStyle w:val="9"/>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5.1.1招标公告；</w:t>
      </w:r>
    </w:p>
    <w:p>
      <w:pPr>
        <w:pStyle w:val="9"/>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5.1.2投标人须知；</w:t>
      </w:r>
    </w:p>
    <w:p>
      <w:pPr>
        <w:pStyle w:val="9"/>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5.1.3采购需求；</w:t>
      </w:r>
    </w:p>
    <w:p>
      <w:pPr>
        <w:pStyle w:val="9"/>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5.1.4评标办法；</w:t>
      </w:r>
    </w:p>
    <w:p>
      <w:pPr>
        <w:pStyle w:val="9"/>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5.1.5拟签订的合同文本；</w:t>
      </w:r>
    </w:p>
    <w:p>
      <w:pPr>
        <w:pStyle w:val="9"/>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rPr>
        <w:t>5.1.6</w:t>
      </w:r>
      <w:r>
        <w:rPr>
          <w:rFonts w:hint="eastAsia" w:ascii="仿宋" w:hAnsi="仿宋" w:eastAsia="仿宋" w:cs="仿宋"/>
          <w:color w:val="auto"/>
          <w:sz w:val="24"/>
          <w:szCs w:val="24"/>
        </w:rPr>
        <w:t>应提交的有关格式范例。</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5.2与本项目有关的</w:t>
      </w:r>
      <w:r>
        <w:rPr>
          <w:rFonts w:hint="eastAsia" w:ascii="仿宋" w:hAnsi="仿宋" w:eastAsia="仿宋" w:cs="仿宋"/>
          <w:bCs/>
          <w:color w:val="auto"/>
          <w:sz w:val="24"/>
        </w:rPr>
        <w:t>澄清或者修改的内容为招标文件的组成部分</w:t>
      </w:r>
      <w:r>
        <w:rPr>
          <w:rFonts w:hint="eastAsia" w:ascii="仿宋" w:hAnsi="仿宋" w:eastAsia="仿宋" w:cs="仿宋"/>
          <w:color w:val="auto"/>
          <w:sz w:val="24"/>
        </w:rPr>
        <w:t>。</w:t>
      </w:r>
    </w:p>
    <w:p>
      <w:pPr>
        <w:pStyle w:val="9"/>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6. 招标文件的澄清、修改</w:t>
      </w:r>
    </w:p>
    <w:p>
      <w:pPr>
        <w:pStyle w:val="132"/>
        <w:snapToGrid w:val="0"/>
        <w:spacing w:before="0"/>
        <w:ind w:firstLine="480"/>
        <w:rPr>
          <w:rFonts w:hint="eastAsia" w:ascii="仿宋" w:hAnsi="仿宋" w:eastAsia="仿宋" w:cs="仿宋"/>
          <w:color w:val="auto"/>
        </w:rPr>
      </w:pPr>
      <w:r>
        <w:rPr>
          <w:rFonts w:hint="eastAsia" w:ascii="仿宋" w:hAnsi="仿宋" w:eastAsia="仿宋" w:cs="仿宋"/>
          <w:color w:val="auto"/>
        </w:rPr>
        <w:t>6.1已获取招标文件的潜在投标人，若有问题需要澄清，应于投标截止时间前，以书面形式向采购代理机构提出。</w:t>
      </w:r>
    </w:p>
    <w:p>
      <w:pPr>
        <w:pStyle w:val="132"/>
        <w:snapToGrid w:val="0"/>
        <w:spacing w:before="0"/>
        <w:ind w:firstLine="480"/>
        <w:rPr>
          <w:rFonts w:hint="eastAsia" w:ascii="仿宋" w:hAnsi="仿宋" w:eastAsia="仿宋" w:cs="仿宋"/>
          <w:color w:val="auto"/>
        </w:rPr>
      </w:pPr>
      <w:r>
        <w:rPr>
          <w:rFonts w:hint="eastAsia" w:ascii="仿宋" w:hAnsi="仿宋" w:eastAsia="仿宋" w:cs="仿宋"/>
          <w:color w:val="auto"/>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int="eastAsia" w:ascii="仿宋" w:hAnsi="仿宋" w:eastAsia="仿宋" w:cs="仿宋"/>
          <w:color w:val="auto"/>
          <w:sz w:val="18"/>
          <w:szCs w:val="18"/>
          <w:lang w:val="en-US"/>
        </w:rPr>
      </w:pPr>
      <w:r>
        <w:rPr>
          <w:rFonts w:hint="eastAsia" w:ascii="仿宋" w:hAnsi="仿宋" w:eastAsia="仿宋" w:cs="仿宋"/>
          <w:color w:val="auto"/>
          <w:szCs w:val="24"/>
          <w:lang w:val="en-US"/>
        </w:rPr>
        <w:t xml:space="preserve">    </w:t>
      </w:r>
    </w:p>
    <w:p>
      <w:pPr>
        <w:adjustRightInd/>
        <w:spacing w:line="360" w:lineRule="auto"/>
        <w:jc w:val="center"/>
        <w:outlineLvl w:val="0"/>
        <w:rPr>
          <w:rFonts w:hint="eastAsia" w:ascii="仿宋" w:hAnsi="仿宋" w:eastAsia="仿宋" w:cs="仿宋"/>
          <w:b/>
          <w:color w:val="auto"/>
          <w:sz w:val="30"/>
          <w:szCs w:val="20"/>
        </w:rPr>
      </w:pPr>
      <w:r>
        <w:rPr>
          <w:rFonts w:hint="eastAsia" w:ascii="仿宋" w:hAnsi="仿宋" w:eastAsia="仿宋" w:cs="仿宋"/>
          <w:b/>
          <w:color w:val="auto"/>
          <w:sz w:val="30"/>
          <w:szCs w:val="20"/>
        </w:rPr>
        <w:t>三、投标</w:t>
      </w:r>
    </w:p>
    <w:p>
      <w:pPr>
        <w:pStyle w:val="9"/>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7. 招标文件的获取</w:t>
      </w:r>
    </w:p>
    <w:p>
      <w:pPr>
        <w:spacing w:line="360" w:lineRule="auto"/>
        <w:ind w:firstLine="480" w:firstLineChars="200"/>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详见招标公告中获取招标文件的时间期限、地点、方式及招标文件售价。</w:t>
      </w:r>
    </w:p>
    <w:p>
      <w:pPr>
        <w:pStyle w:val="9"/>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8.开标前答疑会或现场考察</w:t>
      </w:r>
    </w:p>
    <w:p>
      <w:pPr>
        <w:pStyle w:val="9"/>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采购人组织潜在投标人现场考察或者召开开标前答疑会的，潜在投标人按第二部分投标人须知前附表的规定参加现场考察或者开标前答疑会。</w:t>
      </w:r>
    </w:p>
    <w:p>
      <w:pPr>
        <w:pStyle w:val="9"/>
        <w:spacing w:line="360" w:lineRule="auto"/>
        <w:rPr>
          <w:rFonts w:hint="eastAsia" w:ascii="仿宋" w:hAnsi="仿宋" w:eastAsia="仿宋" w:cs="仿宋"/>
          <w:b/>
          <w:color w:val="auto"/>
          <w:szCs w:val="24"/>
        </w:rPr>
      </w:pPr>
      <w:r>
        <w:rPr>
          <w:rFonts w:hint="eastAsia" w:ascii="仿宋" w:hAnsi="仿宋" w:eastAsia="仿宋" w:cs="仿宋"/>
          <w:b/>
          <w:color w:val="auto"/>
          <w:kern w:val="28"/>
          <w:sz w:val="24"/>
          <w:szCs w:val="24"/>
        </w:rPr>
        <w:t>9.投标保证金</w:t>
      </w:r>
    </w:p>
    <w:p>
      <w:pPr>
        <w:pStyle w:val="8"/>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9"/>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10. 投标文件的语言</w:t>
      </w:r>
    </w:p>
    <w:p>
      <w:pPr>
        <w:autoSpaceDE w:val="0"/>
        <w:autoSpaceDN w:val="0"/>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投标文件及投标人与采购有关的来往通知、函件和文件均应使用中文。</w:t>
      </w:r>
    </w:p>
    <w:p>
      <w:pPr>
        <w:pStyle w:val="9"/>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11. 投标文件的组成</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11.1</w:t>
      </w:r>
      <w:r>
        <w:rPr>
          <w:rFonts w:hint="eastAsia" w:ascii="仿宋" w:hAnsi="仿宋" w:eastAsia="仿宋" w:cs="仿宋"/>
          <w:b/>
          <w:color w:val="auto"/>
          <w:sz w:val="24"/>
        </w:rPr>
        <w:t>资格文件</w:t>
      </w:r>
      <w:r>
        <w:rPr>
          <w:rFonts w:hint="eastAsia" w:ascii="仿宋" w:hAnsi="仿宋" w:eastAsia="仿宋" w:cs="仿宋"/>
          <w:color w:val="auto"/>
          <w:sz w:val="24"/>
        </w:rPr>
        <w:t>：</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11.1.1符合参加采购活动应当具备的一般条件的承诺函；</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11.1.2</w:t>
      </w:r>
      <w:bookmarkStart w:id="15" w:name="_Hlk101259339"/>
      <w:r>
        <w:rPr>
          <w:rFonts w:hint="eastAsia" w:ascii="仿宋" w:hAnsi="仿宋" w:eastAsia="仿宋" w:cs="仿宋"/>
          <w:snapToGrid w:val="0"/>
          <w:color w:val="auto"/>
          <w:kern w:val="28"/>
          <w:sz w:val="24"/>
          <w:szCs w:val="20"/>
        </w:rPr>
        <w:t>联合协议</w:t>
      </w:r>
      <w:bookmarkEnd w:id="15"/>
      <w:r>
        <w:rPr>
          <w:rFonts w:hint="eastAsia" w:ascii="仿宋" w:hAnsi="仿宋" w:eastAsia="仿宋" w:cs="仿宋"/>
          <w:snapToGrid w:val="0"/>
          <w:color w:val="auto"/>
          <w:kern w:val="28"/>
          <w:sz w:val="24"/>
          <w:szCs w:val="20"/>
        </w:rPr>
        <w:t>（如果有)；</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11.1.3落实采购政策需满足的资格要求</w:t>
      </w:r>
      <w:r>
        <w:rPr>
          <w:rFonts w:hint="eastAsia" w:ascii="仿宋" w:hAnsi="仿宋" w:eastAsia="仿宋" w:cs="仿宋"/>
          <w:snapToGrid w:val="0"/>
          <w:color w:val="auto"/>
          <w:kern w:val="28"/>
          <w:sz w:val="24"/>
          <w:szCs w:val="20"/>
        </w:rPr>
        <w:t>（如果有)</w:t>
      </w:r>
      <w:r>
        <w:rPr>
          <w:rFonts w:hint="eastAsia" w:ascii="仿宋" w:hAnsi="仿宋" w:eastAsia="仿宋" w:cs="仿宋"/>
          <w:color w:val="auto"/>
          <w:sz w:val="24"/>
        </w:rPr>
        <w:t>；</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11.1.4本项目的特定资格要求</w:t>
      </w:r>
      <w:r>
        <w:rPr>
          <w:rFonts w:hint="eastAsia" w:ascii="仿宋" w:hAnsi="仿宋" w:eastAsia="仿宋" w:cs="仿宋"/>
          <w:snapToGrid w:val="0"/>
          <w:color w:val="auto"/>
          <w:kern w:val="28"/>
          <w:sz w:val="24"/>
          <w:szCs w:val="20"/>
        </w:rPr>
        <w:t>（如果有)</w:t>
      </w:r>
      <w:r>
        <w:rPr>
          <w:rFonts w:hint="eastAsia" w:ascii="仿宋" w:hAnsi="仿宋" w:eastAsia="仿宋" w:cs="仿宋"/>
          <w:color w:val="auto"/>
          <w:sz w:val="24"/>
        </w:rPr>
        <w:t>。</w:t>
      </w:r>
    </w:p>
    <w:p>
      <w:pPr>
        <w:snapToGrid w:val="0"/>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11.</w:t>
      </w:r>
      <w:r>
        <w:rPr>
          <w:rFonts w:hint="eastAsia" w:ascii="仿宋" w:hAnsi="仿宋" w:eastAsia="仿宋" w:cs="仿宋"/>
          <w:color w:val="auto"/>
          <w:sz w:val="24"/>
        </w:rPr>
        <w:t>2</w:t>
      </w:r>
      <w:r>
        <w:rPr>
          <w:rFonts w:hint="eastAsia" w:ascii="仿宋" w:hAnsi="仿宋" w:eastAsia="仿宋" w:cs="仿宋"/>
          <w:color w:val="auto"/>
          <w:sz w:val="24"/>
          <w:lang w:val="zh-CN"/>
        </w:rPr>
        <w:t xml:space="preserve">  </w:t>
      </w:r>
      <w:r>
        <w:rPr>
          <w:rFonts w:hint="eastAsia" w:ascii="仿宋" w:hAnsi="仿宋" w:eastAsia="仿宋" w:cs="仿宋"/>
          <w:color w:val="auto"/>
          <w:sz w:val="24"/>
        </w:rPr>
        <w:t>商务技术</w:t>
      </w:r>
      <w:r>
        <w:rPr>
          <w:rFonts w:hint="eastAsia" w:ascii="仿宋" w:hAnsi="仿宋" w:eastAsia="仿宋" w:cs="仿宋"/>
          <w:color w:val="auto"/>
          <w:sz w:val="24"/>
          <w:lang w:val="zh-CN"/>
        </w:rPr>
        <w:t>文件：</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11.2.1投标函；</w:t>
      </w:r>
      <w:r>
        <w:rPr>
          <w:rFonts w:hint="eastAsia" w:ascii="仿宋" w:hAnsi="仿宋" w:eastAsia="仿宋" w:cs="仿宋"/>
          <w:color w:val="auto"/>
          <w:sz w:val="24"/>
          <w:lang w:val="zh-CN"/>
        </w:rPr>
        <w:t xml:space="preserve"> </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11.2.3分包意向协议</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11.2.5评标标准相应的商务技术资料；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11.2.6投标标的清单；</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11.2.7商务技术偏离表；</w:t>
      </w:r>
    </w:p>
    <w:p>
      <w:pPr>
        <w:snapToGrid w:val="0"/>
        <w:spacing w:line="360" w:lineRule="auto"/>
        <w:ind w:firstLine="960" w:firstLineChars="400"/>
        <w:rPr>
          <w:rFonts w:hint="eastAsia" w:ascii="仿宋" w:hAnsi="仿宋" w:eastAsia="仿宋" w:cs="仿宋"/>
          <w:color w:val="auto"/>
          <w:sz w:val="24"/>
          <w:lang w:val="zh-CN"/>
        </w:rPr>
      </w:pPr>
      <w:r>
        <w:rPr>
          <w:rFonts w:hint="eastAsia" w:ascii="仿宋" w:hAnsi="仿宋" w:eastAsia="仿宋" w:cs="仿宋"/>
          <w:color w:val="auto"/>
          <w:sz w:val="24"/>
          <w:lang w:val="zh-CN"/>
        </w:rPr>
        <w:t>11.</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采购供应商廉洁自律承诺书；</w:t>
      </w:r>
    </w:p>
    <w:p>
      <w:pPr>
        <w:snapToGrid w:val="0"/>
        <w:spacing w:line="360" w:lineRule="auto"/>
        <w:ind w:firstLine="480" w:firstLineChars="200"/>
        <w:rPr>
          <w:rFonts w:hint="eastAsia" w:ascii="仿宋" w:hAnsi="仿宋" w:eastAsia="仿宋" w:cs="仿宋"/>
          <w:color w:val="auto"/>
          <w:sz w:val="24"/>
          <w:u w:val="single"/>
          <w:lang w:val="zh-CN"/>
        </w:rPr>
      </w:pPr>
      <w:r>
        <w:rPr>
          <w:rFonts w:hint="eastAsia" w:ascii="仿宋" w:hAnsi="仿宋" w:eastAsia="仿宋" w:cs="仿宋"/>
          <w:color w:val="auto"/>
          <w:kern w:val="0"/>
          <w:sz w:val="24"/>
          <w:lang w:val="zh-CN"/>
        </w:rPr>
        <w:t>11.</w:t>
      </w:r>
      <w:r>
        <w:rPr>
          <w:rFonts w:hint="eastAsia" w:ascii="仿宋" w:hAnsi="仿宋" w:eastAsia="仿宋" w:cs="仿宋"/>
          <w:color w:val="auto"/>
          <w:kern w:val="0"/>
          <w:sz w:val="24"/>
        </w:rPr>
        <w:t>3</w:t>
      </w:r>
      <w:r>
        <w:rPr>
          <w:rFonts w:hint="eastAsia" w:ascii="仿宋" w:hAnsi="仿宋" w:eastAsia="仿宋" w:cs="仿宋"/>
          <w:b/>
          <w:color w:val="auto"/>
          <w:sz w:val="24"/>
        </w:rPr>
        <w:t>报价文件：</w:t>
      </w:r>
      <w:r>
        <w:rPr>
          <w:rFonts w:hint="eastAsia" w:ascii="仿宋" w:hAnsi="仿宋" w:eastAsia="仿宋" w:cs="仿宋"/>
          <w:color w:val="auto"/>
          <w:sz w:val="24"/>
        </w:rPr>
        <w:t xml:space="preserve"> </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11.3.1开标一览表（报价表）；</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w:t>
      </w:r>
      <w:r>
        <w:rPr>
          <w:rFonts w:hint="eastAsia" w:ascii="仿宋" w:hAnsi="仿宋" w:eastAsia="仿宋" w:cs="仿宋"/>
          <w:color w:val="auto"/>
          <w:sz w:val="24"/>
          <w:lang w:val="en-US" w:eastAsia="zh-CN"/>
        </w:rPr>
        <w:t>3.2</w:t>
      </w:r>
      <w:r>
        <w:rPr>
          <w:rFonts w:hint="eastAsia" w:ascii="仿宋" w:hAnsi="仿宋" w:eastAsia="仿宋" w:cs="仿宋"/>
          <w:color w:val="auto"/>
          <w:sz w:val="24"/>
        </w:rPr>
        <w:t>中小企业声明函。</w:t>
      </w:r>
    </w:p>
    <w:p>
      <w:pPr>
        <w:spacing w:line="360" w:lineRule="auto"/>
        <w:ind w:firstLine="723" w:firstLineChars="300"/>
        <w:rPr>
          <w:rFonts w:hint="eastAsia" w:ascii="仿宋" w:hAnsi="仿宋" w:eastAsia="仿宋" w:cs="仿宋"/>
          <w:b/>
          <w:color w:val="auto"/>
          <w:sz w:val="24"/>
        </w:rPr>
      </w:pPr>
      <w:r>
        <w:rPr>
          <w:rFonts w:hint="eastAsia" w:ascii="仿宋" w:hAnsi="仿宋" w:eastAsia="仿宋" w:cs="仿宋"/>
          <w:b/>
          <w:color w:val="auto"/>
          <w:sz w:val="24"/>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rPr>
      </w:pPr>
      <w:r>
        <w:rPr>
          <w:rFonts w:hint="eastAsia" w:ascii="仿宋" w:hAnsi="仿宋" w:eastAsia="仿宋" w:cs="仿宋"/>
          <w:b/>
          <w:color w:val="auto"/>
          <w:sz w:val="24"/>
        </w:rPr>
        <w:t>投标人提供虚假材料投标的，投标无效。</w:t>
      </w:r>
    </w:p>
    <w:p>
      <w:pPr>
        <w:pStyle w:val="132"/>
        <w:snapToGrid w:val="0"/>
        <w:spacing w:before="0"/>
        <w:ind w:firstLine="0" w:firstLineChars="0"/>
        <w:outlineLvl w:val="0"/>
        <w:rPr>
          <w:rFonts w:hint="eastAsia" w:ascii="仿宋" w:hAnsi="仿宋" w:eastAsia="仿宋" w:cs="仿宋"/>
          <w:b/>
          <w:color w:val="auto"/>
          <w:szCs w:val="24"/>
        </w:rPr>
      </w:pPr>
      <w:r>
        <w:rPr>
          <w:rFonts w:hint="eastAsia" w:ascii="仿宋" w:hAnsi="仿宋" w:eastAsia="仿宋" w:cs="仿宋"/>
          <w:b/>
          <w:color w:val="auto"/>
          <w:szCs w:val="24"/>
        </w:rPr>
        <w:t>12</w:t>
      </w:r>
      <w:r>
        <w:rPr>
          <w:rFonts w:hint="eastAsia" w:ascii="仿宋" w:hAnsi="仿宋" w:eastAsia="仿宋" w:cs="仿宋"/>
          <w:b/>
          <w:color w:val="auto"/>
          <w:kern w:val="0"/>
          <w:szCs w:val="24"/>
          <w:lang w:val="zh-CN"/>
        </w:rPr>
        <w:t xml:space="preserve">. </w:t>
      </w:r>
      <w:r>
        <w:rPr>
          <w:rFonts w:hint="eastAsia" w:ascii="仿宋" w:hAnsi="仿宋" w:eastAsia="仿宋" w:cs="仿宋"/>
          <w:b/>
          <w:color w:val="auto"/>
          <w:szCs w:val="24"/>
        </w:rPr>
        <w:t>投标文件的编制</w:t>
      </w:r>
    </w:p>
    <w:p>
      <w:pPr>
        <w:spacing w:line="360" w:lineRule="auto"/>
        <w:ind w:firstLine="480" w:firstLineChars="200"/>
        <w:rPr>
          <w:rFonts w:hint="eastAsia" w:ascii="仿宋" w:hAnsi="仿宋" w:eastAsia="仿宋" w:cs="仿宋"/>
          <w:b/>
          <w:color w:val="auto"/>
          <w:sz w:val="24"/>
        </w:rPr>
      </w:pPr>
      <w:r>
        <w:rPr>
          <w:rFonts w:hint="eastAsia" w:ascii="仿宋" w:hAnsi="仿宋" w:eastAsia="仿宋" w:cs="仿宋"/>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12.2</w:t>
      </w:r>
      <w:r>
        <w:rPr>
          <w:rFonts w:hint="eastAsia" w:ascii="仿宋" w:hAnsi="仿宋" w:eastAsia="仿宋" w:cs="仿宋"/>
          <w:color w:val="auto"/>
          <w:kern w:val="0"/>
          <w:sz w:val="24"/>
          <w:highlight w:val="none"/>
          <w:lang w:val="zh-CN"/>
        </w:rPr>
        <w:t>投标人进行电子投标应安装客户端软件—“</w:t>
      </w:r>
      <w:r>
        <w:rPr>
          <w:rFonts w:hint="eastAsia" w:ascii="仿宋" w:hAnsi="仿宋" w:eastAsia="仿宋" w:cs="仿宋"/>
          <w:color w:val="auto"/>
          <w:kern w:val="0"/>
          <w:sz w:val="24"/>
          <w:highlight w:val="none"/>
          <w:lang w:val="en-US" w:eastAsia="zh-CN"/>
        </w:rPr>
        <w:t>乐采云</w:t>
      </w:r>
      <w:r>
        <w:rPr>
          <w:rFonts w:hint="eastAsia" w:ascii="仿宋" w:hAnsi="仿宋" w:eastAsia="仿宋" w:cs="仿宋"/>
          <w:color w:val="auto"/>
          <w:kern w:val="0"/>
          <w:sz w:val="24"/>
          <w:highlight w:val="none"/>
          <w:lang w:val="zh-CN"/>
        </w:rPr>
        <w:t>电子交易客户端”，并按照招标文件和电子交易平台的要求编制并加密投标文件。</w:t>
      </w:r>
      <w:r>
        <w:rPr>
          <w:rFonts w:hint="eastAsia" w:ascii="仿宋" w:hAnsi="仿宋" w:eastAsia="仿宋" w:cs="仿宋"/>
          <w:color w:val="auto"/>
          <w:kern w:val="0"/>
          <w:sz w:val="24"/>
          <w:lang w:val="zh-CN"/>
        </w:rPr>
        <w:t>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12.3</w:t>
      </w:r>
      <w:r>
        <w:rPr>
          <w:rFonts w:hint="eastAsia" w:ascii="仿宋" w:hAnsi="仿宋" w:eastAsia="仿宋" w:cs="仿宋"/>
          <w:color w:val="auto"/>
          <w:kern w:val="0"/>
          <w:sz w:val="24"/>
          <w:highlight w:val="none"/>
          <w:lang w:val="zh-CN"/>
        </w:rPr>
        <w:t>使用“乐采云电子交易客户端”需要提前申领CA数字证书，申领流程请自行前往“浙江政府采购网-下载专区-电子交易客户端-CA驱动和申领流程”进行查阅。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rPr>
      </w:pPr>
      <w:r>
        <w:rPr>
          <w:rFonts w:hint="eastAsia" w:ascii="仿宋" w:hAnsi="仿宋" w:eastAsia="仿宋" w:cs="仿宋"/>
          <w:b/>
          <w:color w:val="auto"/>
          <w:sz w:val="24"/>
        </w:rPr>
        <w:t>13.投标文件的签署、盖章</w:t>
      </w:r>
    </w:p>
    <w:p>
      <w:pPr>
        <w:pStyle w:val="132"/>
        <w:snapToGrid w:val="0"/>
        <w:spacing w:before="0"/>
        <w:ind w:firstLine="480"/>
        <w:rPr>
          <w:rFonts w:hint="eastAsia" w:ascii="仿宋" w:hAnsi="仿宋" w:eastAsia="仿宋" w:cs="仿宋"/>
          <w:b/>
          <w:color w:val="auto"/>
        </w:rPr>
      </w:pPr>
      <w:r>
        <w:rPr>
          <w:rFonts w:hint="eastAsia" w:ascii="仿宋" w:hAnsi="仿宋" w:eastAsia="仿宋" w:cs="仿宋"/>
          <w:color w:val="auto"/>
          <w:szCs w:val="24"/>
        </w:rPr>
        <w:t>13.1投标文件按照招标文件第六部分格式要</w:t>
      </w:r>
      <w:r>
        <w:rPr>
          <w:rFonts w:hint="eastAsia" w:ascii="仿宋" w:hAnsi="仿宋" w:eastAsia="仿宋" w:cs="仿宋"/>
          <w:color w:val="auto"/>
        </w:rPr>
        <w:t>求进行签署、盖章。</w:t>
      </w:r>
      <w:r>
        <w:rPr>
          <w:rFonts w:hint="eastAsia" w:ascii="仿宋" w:hAnsi="仿宋" w:eastAsia="仿宋" w:cs="仿宋"/>
          <w:b/>
          <w:color w:val="auto"/>
        </w:rPr>
        <w:t>▲投标人的投标文件未按照招标文件要求签署、盖章的，其投标无效</w:t>
      </w:r>
      <w:r>
        <w:rPr>
          <w:rFonts w:hint="eastAsia" w:ascii="仿宋" w:hAnsi="仿宋" w:eastAsia="仿宋" w:cs="仿宋"/>
          <w:color w:val="auto"/>
          <w:szCs w:val="24"/>
        </w:rPr>
        <w:t>。</w:t>
      </w:r>
    </w:p>
    <w:p>
      <w:pPr>
        <w:pStyle w:val="132"/>
        <w:snapToGrid w:val="0"/>
        <w:spacing w:before="0"/>
        <w:ind w:firstLine="480"/>
        <w:rPr>
          <w:rFonts w:hint="eastAsia" w:ascii="仿宋" w:hAnsi="仿宋" w:eastAsia="仿宋" w:cs="仿宋"/>
          <w:color w:val="auto"/>
        </w:rPr>
      </w:pPr>
      <w:r>
        <w:rPr>
          <w:rFonts w:hint="eastAsia" w:ascii="仿宋" w:hAnsi="仿宋" w:eastAsia="仿宋" w:cs="仿宋"/>
          <w:color w:val="auto"/>
        </w:rPr>
        <w:t>13.2为确保网上操作合法、有效和安全，投标人应当在投标截止时间前完成在“</w:t>
      </w:r>
      <w:r>
        <w:rPr>
          <w:rFonts w:hint="eastAsia" w:ascii="仿宋" w:hAnsi="仿宋" w:eastAsia="仿宋" w:cs="仿宋"/>
          <w:color w:val="auto"/>
          <w:lang w:eastAsia="zh-CN"/>
        </w:rPr>
        <w:t>乐</w:t>
      </w:r>
      <w:r>
        <w:rPr>
          <w:rFonts w:hint="eastAsia" w:ascii="仿宋" w:hAnsi="仿宋" w:eastAsia="仿宋" w:cs="仿宋"/>
          <w:color w:val="auto"/>
          <w:highlight w:val="none"/>
        </w:rPr>
        <w:t>采云平台”</w:t>
      </w:r>
      <w:r>
        <w:rPr>
          <w:rFonts w:hint="eastAsia" w:ascii="仿宋" w:hAnsi="仿宋" w:eastAsia="仿宋" w:cs="仿宋"/>
          <w:color w:val="auto"/>
        </w:rPr>
        <w:t>的身份认证，确保在电子投标过程中能够对相关数据电文进行加密和使用电子签名。</w:t>
      </w:r>
    </w:p>
    <w:p>
      <w:pPr>
        <w:pStyle w:val="132"/>
        <w:snapToGrid w:val="0"/>
        <w:spacing w:before="0"/>
        <w:ind w:firstLine="480"/>
        <w:rPr>
          <w:rFonts w:hint="eastAsia" w:ascii="仿宋" w:hAnsi="仿宋" w:eastAsia="仿宋" w:cs="仿宋"/>
          <w:color w:val="auto"/>
          <w:szCs w:val="24"/>
        </w:rPr>
      </w:pPr>
      <w:r>
        <w:rPr>
          <w:rFonts w:hint="eastAsia" w:ascii="仿宋" w:hAnsi="仿宋" w:eastAsia="仿宋" w:cs="仿宋"/>
          <w:color w:val="auto"/>
        </w:rPr>
        <w:t>13.3招标文件对投标文件签署、盖章的要求适用于电子签名。</w:t>
      </w:r>
    </w:p>
    <w:p>
      <w:pPr>
        <w:pStyle w:val="132"/>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14. 投标文件的提交、补充、修改、撤回</w:t>
      </w:r>
    </w:p>
    <w:p>
      <w:pPr>
        <w:pStyle w:val="132"/>
        <w:ind w:firstLine="480"/>
        <w:rPr>
          <w:rFonts w:hint="eastAsia" w:ascii="仿宋" w:hAnsi="仿宋" w:eastAsia="仿宋" w:cs="仿宋"/>
          <w:color w:val="auto"/>
          <w:szCs w:val="24"/>
        </w:rPr>
      </w:pPr>
      <w:r>
        <w:rPr>
          <w:rFonts w:hint="eastAsia" w:ascii="仿宋" w:hAnsi="仿宋" w:eastAsia="仿宋" w:cs="仿宋"/>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spacing w:before="0"/>
        <w:ind w:firstLine="480"/>
        <w:rPr>
          <w:rFonts w:hint="eastAsia" w:ascii="仿宋" w:hAnsi="仿宋" w:eastAsia="仿宋" w:cs="仿宋"/>
          <w:color w:val="auto"/>
          <w:szCs w:val="24"/>
        </w:rPr>
      </w:pPr>
      <w:r>
        <w:rPr>
          <w:rFonts w:hint="eastAsia" w:ascii="仿宋" w:hAnsi="仿宋" w:eastAsia="仿宋" w:cs="仿宋"/>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2"/>
        <w:spacing w:before="0"/>
        <w:ind w:firstLine="480"/>
        <w:rPr>
          <w:rFonts w:hint="eastAsia" w:ascii="仿宋" w:hAnsi="仿宋" w:eastAsia="仿宋" w:cs="仿宋"/>
          <w:color w:val="auto"/>
          <w:szCs w:val="24"/>
        </w:rPr>
      </w:pPr>
      <w:r>
        <w:rPr>
          <w:rFonts w:hint="eastAsia" w:ascii="仿宋" w:hAnsi="仿宋" w:eastAsia="仿宋" w:cs="仿宋"/>
          <w:color w:val="auto"/>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9"/>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15.备份投标文件</w:t>
      </w:r>
    </w:p>
    <w:p>
      <w:pPr>
        <w:pStyle w:val="9"/>
        <w:spacing w:line="360" w:lineRule="auto"/>
        <w:ind w:firstLine="360" w:firstLineChars="150"/>
        <w:rPr>
          <w:rFonts w:hint="eastAsia" w:ascii="仿宋" w:hAnsi="仿宋" w:eastAsia="仿宋" w:cs="仿宋"/>
          <w:b/>
          <w:color w:val="auto"/>
          <w:sz w:val="24"/>
          <w:szCs w:val="24"/>
        </w:rPr>
      </w:pPr>
      <w:r>
        <w:rPr>
          <w:rFonts w:hint="eastAsia" w:ascii="仿宋" w:hAnsi="仿宋" w:eastAsia="仿宋" w:cs="仿宋"/>
          <w:color w:val="auto"/>
          <w:sz w:val="24"/>
          <w:szCs w:val="24"/>
        </w:rPr>
        <w:t xml:space="preserve"> 15.1投标人在电子交易平台传输递交投标文件后，还可以在投标截止时间前直接提交或者以</w:t>
      </w:r>
      <w:r>
        <w:rPr>
          <w:rFonts w:hint="eastAsia" w:ascii="仿宋" w:hAnsi="仿宋" w:eastAsia="仿宋" w:cs="仿宋"/>
          <w:color w:val="auto"/>
          <w:sz w:val="24"/>
          <w:szCs w:val="24"/>
          <w:lang w:eastAsia="zh-CN"/>
        </w:rPr>
        <w:t>电子邮件</w:t>
      </w:r>
      <w:r>
        <w:rPr>
          <w:rFonts w:hint="eastAsia" w:ascii="仿宋" w:hAnsi="仿宋" w:eastAsia="仿宋" w:cs="仿宋"/>
          <w:color w:val="auto"/>
          <w:sz w:val="24"/>
          <w:szCs w:val="24"/>
        </w:rPr>
        <w:t>方式递交备份投标文件1份，</w:t>
      </w:r>
      <w:r>
        <w:rPr>
          <w:rFonts w:hint="eastAsia" w:ascii="仿宋" w:hAnsi="仿宋" w:eastAsia="仿宋" w:cs="仿宋"/>
          <w:b/>
          <w:color w:val="auto"/>
          <w:sz w:val="24"/>
          <w:szCs w:val="24"/>
        </w:rPr>
        <w:t>但采购人、采购代理机构不强制或变相强制投标人提交备份投标文件。</w:t>
      </w:r>
    </w:p>
    <w:p>
      <w:pPr>
        <w:pStyle w:val="9"/>
        <w:spacing w:line="360" w:lineRule="auto"/>
        <w:ind w:firstLine="480" w:firstLineChars="200"/>
        <w:rPr>
          <w:rFonts w:hint="eastAsia" w:ascii="仿宋" w:hAnsi="仿宋" w:eastAsia="仿宋" w:cs="仿宋"/>
          <w:b/>
          <w:color w:val="auto"/>
          <w:sz w:val="24"/>
          <w:szCs w:val="24"/>
        </w:rPr>
      </w:pPr>
      <w:r>
        <w:rPr>
          <w:rFonts w:hint="eastAsia" w:ascii="仿宋" w:hAnsi="仿宋" w:eastAsia="仿宋" w:cs="仿宋"/>
          <w:color w:val="auto"/>
          <w:sz w:val="24"/>
          <w:szCs w:val="24"/>
        </w:rPr>
        <w:t>15.2</w:t>
      </w:r>
      <w:r>
        <w:rPr>
          <w:rFonts w:hint="eastAsia" w:ascii="仿宋" w:hAnsi="仿宋" w:eastAsia="仿宋" w:cs="仿宋"/>
          <w:color w:val="auto"/>
          <w:sz w:val="24"/>
          <w:szCs w:val="24"/>
          <w:highlight w:val="none"/>
        </w:rPr>
        <w:t>以介质存储的数据电文形式的备份投标文件：按</w:t>
      </w:r>
      <w:r>
        <w:rPr>
          <w:rFonts w:hint="eastAsia" w:ascii="仿宋" w:hAnsi="仿宋" w:eastAsia="仿宋" w:cs="仿宋"/>
          <w:color w:val="auto"/>
          <w:sz w:val="24"/>
          <w:szCs w:val="24"/>
          <w:highlight w:val="none"/>
          <w:lang w:eastAsia="zh-CN"/>
        </w:rPr>
        <w:t>乐</w:t>
      </w:r>
      <w:r>
        <w:rPr>
          <w:rFonts w:hint="eastAsia" w:ascii="仿宋" w:hAnsi="仿宋" w:eastAsia="仿宋" w:cs="仿宋"/>
          <w:color w:val="auto"/>
          <w:sz w:val="24"/>
          <w:szCs w:val="24"/>
          <w:highlight w:val="none"/>
        </w:rPr>
        <w:t>采云平台项目采购-电子招投标操作指南制作备份投标文件（后缀名为.bfbs），在投标截止时间前以电子邮件形式递交至(</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"mailto:2990430955@qq.com"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val="en-US" w:eastAsia="zh-CN"/>
        </w:rPr>
        <w:t>601546348</w:t>
      </w:r>
      <w:r>
        <w:rPr>
          <w:rFonts w:hint="eastAsia" w:ascii="仿宋" w:hAnsi="仿宋" w:eastAsia="仿宋" w:cs="仿宋"/>
          <w:color w:val="auto"/>
          <w:sz w:val="24"/>
          <w:szCs w:val="24"/>
          <w:highlight w:val="none"/>
        </w:rPr>
        <w:t>@qq.com</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w:t>
      </w:r>
      <w:r>
        <w:rPr>
          <w:rFonts w:hint="eastAsia" w:ascii="仿宋" w:hAnsi="仿宋" w:eastAsia="仿宋" w:cs="仿宋"/>
          <w:b/>
          <w:color w:val="auto"/>
          <w:sz w:val="24"/>
        </w:rPr>
        <w:t>不符合上述制作、</w:t>
      </w:r>
      <w:r>
        <w:rPr>
          <w:rFonts w:hint="eastAsia" w:ascii="仿宋" w:hAnsi="仿宋" w:eastAsia="仿宋" w:cs="仿宋"/>
          <w:b/>
          <w:color w:val="auto"/>
          <w:sz w:val="24"/>
          <w:szCs w:val="24"/>
        </w:rPr>
        <w:t>存储、密封规定的备份投标文件将被视为无效或者被拒绝接收。</w:t>
      </w:r>
    </w:p>
    <w:p>
      <w:pPr>
        <w:pStyle w:val="9"/>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9"/>
        <w:spacing w:line="360" w:lineRule="auto"/>
        <w:ind w:firstLine="479" w:firstLineChars="199"/>
        <w:rPr>
          <w:rFonts w:hint="eastAsia" w:ascii="仿宋" w:hAnsi="仿宋" w:eastAsia="仿宋" w:cs="仿宋"/>
          <w:b/>
          <w:color w:val="auto"/>
          <w:sz w:val="24"/>
          <w:szCs w:val="24"/>
        </w:rPr>
      </w:pPr>
      <w:r>
        <w:rPr>
          <w:rFonts w:hint="eastAsia" w:ascii="仿宋" w:hAnsi="仿宋" w:eastAsia="仿宋" w:cs="仿宋"/>
          <w:b/>
          <w:color w:val="auto"/>
          <w:sz w:val="24"/>
          <w:szCs w:val="24"/>
        </w:rPr>
        <w:t>15.</w:t>
      </w:r>
      <w:r>
        <w:rPr>
          <w:rFonts w:hint="eastAsia" w:ascii="仿宋" w:hAnsi="仿宋" w:eastAsia="仿宋" w:cs="仿宋"/>
          <w:b/>
          <w:color w:val="auto"/>
          <w:sz w:val="24"/>
          <w:szCs w:val="24"/>
          <w:lang w:val="en-US" w:eastAsia="zh-CN"/>
        </w:rPr>
        <w:t>4</w:t>
      </w:r>
      <w:r>
        <w:rPr>
          <w:rFonts w:hint="eastAsia" w:ascii="仿宋" w:hAnsi="仿宋" w:eastAsia="仿宋" w:cs="仿宋"/>
          <w:b/>
          <w:color w:val="auto"/>
          <w:sz w:val="24"/>
          <w:szCs w:val="24"/>
        </w:rPr>
        <w:t>投标人仅提交备份投标文件，未在电子交易平台传输递交投标文件的，投标无效。</w:t>
      </w:r>
    </w:p>
    <w:p>
      <w:pPr>
        <w:pStyle w:val="132"/>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16.投标文件的无效处理</w:t>
      </w:r>
    </w:p>
    <w:p>
      <w:pPr>
        <w:pStyle w:val="27"/>
        <w:spacing w:line="360" w:lineRule="auto"/>
        <w:ind w:firstLine="360" w:firstLineChars="150"/>
        <w:rPr>
          <w:rFonts w:hint="eastAsia" w:ascii="仿宋" w:hAnsi="仿宋" w:eastAsia="仿宋" w:cs="仿宋"/>
          <w:color w:val="auto"/>
          <w:szCs w:val="21"/>
        </w:rPr>
      </w:pPr>
      <w:r>
        <w:rPr>
          <w:rFonts w:hint="eastAsia" w:ascii="仿宋" w:hAnsi="仿宋" w:eastAsia="仿宋" w:cs="仿宋"/>
          <w:color w:val="auto"/>
          <w:szCs w:val="21"/>
        </w:rPr>
        <w:t>有招标文件第四部分</w:t>
      </w:r>
      <w:r>
        <w:rPr>
          <w:rFonts w:hint="eastAsia" w:ascii="仿宋" w:hAnsi="仿宋" w:eastAsia="仿宋" w:cs="仿宋"/>
          <w:color w:val="auto"/>
        </w:rPr>
        <w:t>4.2规定</w:t>
      </w:r>
      <w:r>
        <w:rPr>
          <w:rFonts w:hint="eastAsia" w:ascii="仿宋" w:hAnsi="仿宋" w:eastAsia="仿宋" w:cs="仿宋"/>
          <w:color w:val="auto"/>
          <w:szCs w:val="21"/>
        </w:rPr>
        <w:t>的情形之一的，投标无效：</w:t>
      </w:r>
    </w:p>
    <w:p>
      <w:pPr>
        <w:pStyle w:val="132"/>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17.投标有效期</w:t>
      </w:r>
    </w:p>
    <w:p>
      <w:pPr>
        <w:spacing w:line="360" w:lineRule="auto"/>
        <w:ind w:firstLine="480" w:firstLineChars="200"/>
        <w:rPr>
          <w:rFonts w:hint="eastAsia" w:ascii="仿宋" w:hAnsi="仿宋" w:eastAsia="仿宋" w:cs="仿宋"/>
          <w:b/>
          <w:color w:val="auto"/>
          <w:sz w:val="24"/>
          <w:szCs w:val="21"/>
        </w:rPr>
      </w:pPr>
      <w:r>
        <w:rPr>
          <w:rFonts w:hint="eastAsia" w:ascii="仿宋" w:hAnsi="仿宋" w:eastAsia="仿宋" w:cs="仿宋"/>
          <w:color w:val="auto"/>
          <w:sz w:val="24"/>
          <w:szCs w:val="20"/>
        </w:rPr>
        <w:t>17.1投标有效期为从提交投标文件的截止之日起90天。▲</w:t>
      </w:r>
      <w:r>
        <w:rPr>
          <w:rFonts w:hint="eastAsia" w:ascii="仿宋" w:hAnsi="仿宋" w:eastAsia="仿宋" w:cs="仿宋"/>
          <w:b/>
          <w:color w:val="auto"/>
          <w:sz w:val="24"/>
          <w:szCs w:val="20"/>
        </w:rPr>
        <w:t>投标人的投标文件中承</w:t>
      </w:r>
      <w:r>
        <w:rPr>
          <w:rFonts w:hint="eastAsia" w:ascii="仿宋" w:hAnsi="仿宋" w:eastAsia="仿宋" w:cs="仿宋"/>
          <w:b/>
          <w:color w:val="auto"/>
          <w:sz w:val="24"/>
          <w:szCs w:val="21"/>
        </w:rPr>
        <w:t>诺的投标有效期少于招标文件中载明的投标有效期的，投标无效。</w:t>
      </w:r>
    </w:p>
    <w:p>
      <w:pPr>
        <w:pStyle w:val="132"/>
        <w:spacing w:before="0"/>
        <w:ind w:firstLine="480"/>
        <w:rPr>
          <w:rFonts w:hint="eastAsia" w:ascii="仿宋" w:hAnsi="仿宋" w:eastAsia="仿宋" w:cs="仿宋"/>
          <w:color w:val="auto"/>
        </w:rPr>
      </w:pPr>
      <w:r>
        <w:rPr>
          <w:rFonts w:hint="eastAsia" w:ascii="仿宋" w:hAnsi="仿宋" w:eastAsia="仿宋" w:cs="仿宋"/>
          <w:color w:val="auto"/>
        </w:rPr>
        <w:t>17.2投标文件合格投递后，自投标截止日期起，在投标有效期内有效。</w:t>
      </w:r>
    </w:p>
    <w:p>
      <w:pPr>
        <w:pStyle w:val="132"/>
        <w:spacing w:before="0"/>
        <w:ind w:firstLine="480"/>
        <w:rPr>
          <w:rFonts w:hint="eastAsia" w:ascii="仿宋" w:hAnsi="仿宋" w:eastAsia="仿宋" w:cs="仿宋"/>
          <w:color w:val="auto"/>
        </w:rPr>
      </w:pPr>
      <w:r>
        <w:rPr>
          <w:rFonts w:hint="eastAsia" w:ascii="仿宋" w:hAnsi="仿宋" w:eastAsia="仿宋" w:cs="仿宋"/>
          <w:color w:val="auto"/>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2"/>
        <w:spacing w:before="0"/>
        <w:ind w:firstLine="643"/>
        <w:rPr>
          <w:rFonts w:hint="eastAsia" w:ascii="仿宋" w:hAnsi="仿宋" w:eastAsia="仿宋" w:cs="仿宋"/>
          <w:b/>
          <w:color w:val="auto"/>
          <w:sz w:val="32"/>
        </w:rPr>
      </w:pPr>
    </w:p>
    <w:p>
      <w:pPr>
        <w:pStyle w:val="132"/>
        <w:spacing w:before="0"/>
        <w:ind w:firstLine="1928" w:firstLineChars="600"/>
        <w:rPr>
          <w:rFonts w:hint="eastAsia" w:ascii="仿宋" w:hAnsi="仿宋" w:eastAsia="仿宋" w:cs="仿宋"/>
          <w:b/>
          <w:color w:val="auto"/>
          <w:sz w:val="32"/>
        </w:rPr>
      </w:pPr>
      <w:r>
        <w:rPr>
          <w:rFonts w:hint="eastAsia" w:ascii="仿宋" w:hAnsi="仿宋" w:eastAsia="仿宋" w:cs="仿宋"/>
          <w:b/>
          <w:color w:val="auto"/>
          <w:sz w:val="32"/>
        </w:rPr>
        <w:t>四、开标、资格审查与信用信息查询</w:t>
      </w:r>
    </w:p>
    <w:p>
      <w:pPr>
        <w:pStyle w:val="557"/>
        <w:spacing w:before="0" w:line="360" w:lineRule="auto"/>
        <w:ind w:left="0" w:firstLine="241" w:firstLineChars="100"/>
        <w:contextualSpacing/>
        <w:rPr>
          <w:rFonts w:hint="eastAsia" w:ascii="仿宋" w:hAnsi="仿宋" w:eastAsia="仿宋" w:cs="仿宋"/>
          <w:color w:val="auto"/>
          <w:sz w:val="24"/>
        </w:rPr>
      </w:pPr>
      <w:r>
        <w:rPr>
          <w:rFonts w:hint="eastAsia" w:ascii="仿宋" w:hAnsi="仿宋" w:eastAsia="仿宋" w:cs="仿宋"/>
          <w:b/>
          <w:color w:val="auto"/>
          <w:sz w:val="24"/>
          <w:szCs w:val="24"/>
        </w:rPr>
        <w:t>18.开标</w:t>
      </w:r>
      <w:r>
        <w:rPr>
          <w:rFonts w:hint="eastAsia" w:ascii="仿宋" w:hAnsi="仿宋" w:eastAsia="仿宋" w:cs="仿宋"/>
          <w:color w:val="auto"/>
          <w:sz w:val="24"/>
        </w:rPr>
        <w:t xml:space="preserve"> </w:t>
      </w:r>
    </w:p>
    <w:p>
      <w:pPr>
        <w:pStyle w:val="557"/>
        <w:spacing w:before="0" w:line="360" w:lineRule="auto"/>
        <w:ind w:left="0" w:firstLine="480" w:firstLineChars="200"/>
        <w:contextualSpacing/>
        <w:rPr>
          <w:rFonts w:hint="eastAsia" w:ascii="仿宋" w:hAnsi="仿宋" w:eastAsia="仿宋" w:cs="仿宋"/>
          <w:color w:val="auto"/>
          <w:sz w:val="24"/>
        </w:rPr>
      </w:pPr>
      <w:r>
        <w:rPr>
          <w:rFonts w:hint="eastAsia" w:ascii="仿宋" w:hAnsi="仿宋" w:eastAsia="仿宋" w:cs="仿宋"/>
          <w:color w:val="auto"/>
          <w:sz w:val="24"/>
        </w:rPr>
        <w:t>18.1采购代理机构按照招标文件规定的时间通过电子交易平台组织开标，所有投标人均应当准时在线参加。投标人不足3家的，不得开标。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hint="eastAsia" w:ascii="仿宋" w:hAnsi="仿宋" w:eastAsia="仿宋" w:cs="仿宋"/>
          <w:color w:val="auto"/>
          <w:sz w:val="24"/>
        </w:rPr>
      </w:pPr>
      <w:r>
        <w:rPr>
          <w:rFonts w:hint="eastAsia" w:ascii="仿宋" w:hAnsi="仿宋" w:eastAsia="仿宋" w:cs="仿宋"/>
          <w:color w:val="auto"/>
          <w:sz w:val="24"/>
        </w:rPr>
        <w:t>　18.2开标时，电子交易平台按开标时间自动提取所有投标文件。采购代理机构依托电子交易平台发起开始解密指令，投标人按照平台提示和招标文件的规定在半小时内完成在线解密。</w:t>
      </w:r>
    </w:p>
    <w:p>
      <w:pPr>
        <w:pStyle w:val="557"/>
        <w:spacing w:before="0" w:line="360" w:lineRule="auto"/>
        <w:ind w:left="0" w:firstLine="240" w:firstLineChars="100"/>
        <w:contextualSpacing/>
        <w:rPr>
          <w:rFonts w:hint="eastAsia" w:ascii="仿宋" w:hAnsi="仿宋" w:eastAsia="仿宋" w:cs="仿宋"/>
          <w:b/>
          <w:color w:val="auto"/>
          <w:sz w:val="24"/>
        </w:rPr>
      </w:pPr>
      <w:r>
        <w:rPr>
          <w:rFonts w:hint="eastAsia" w:ascii="仿宋" w:hAnsi="仿宋" w:eastAsia="仿宋" w:cs="仿宋"/>
          <w:color w:val="auto"/>
          <w:sz w:val="24"/>
        </w:rPr>
        <w:t>　18.3</w:t>
      </w:r>
      <w:r>
        <w:rPr>
          <w:rFonts w:hint="eastAsia" w:ascii="仿宋" w:hAnsi="仿宋" w:eastAsia="仿宋" w:cs="仿宋"/>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auto"/>
          <w:sz w:val="24"/>
          <w:szCs w:val="20"/>
        </w:rPr>
      </w:pPr>
      <w:r>
        <w:rPr>
          <w:rFonts w:hint="eastAsia" w:ascii="仿宋" w:hAnsi="仿宋" w:eastAsia="仿宋" w:cs="仿宋"/>
          <w:b/>
          <w:color w:val="auto"/>
          <w:sz w:val="24"/>
          <w:szCs w:val="20"/>
        </w:rPr>
        <w:t>　19、资格审查</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t>19.1</w:t>
      </w:r>
      <w:r>
        <w:rPr>
          <w:rFonts w:hint="eastAsia" w:ascii="仿宋" w:hAnsi="仿宋" w:eastAsia="仿宋" w:cs="仿宋"/>
          <w:color w:val="auto"/>
          <w:sz w:val="24"/>
        </w:rPr>
        <w:t>采购人或采购代理机构依据法律法规和招标文件的规定，对投标人的资格进行审查。</w:t>
      </w:r>
    </w:p>
    <w:p>
      <w:pPr>
        <w:pStyle w:val="132"/>
        <w:spacing w:before="0"/>
        <w:ind w:firstLine="480"/>
        <w:rPr>
          <w:rFonts w:hint="eastAsia" w:ascii="仿宋" w:hAnsi="仿宋" w:eastAsia="仿宋" w:cs="仿宋"/>
          <w:color w:val="auto"/>
        </w:rPr>
      </w:pPr>
      <w:r>
        <w:rPr>
          <w:rFonts w:hint="eastAsia" w:ascii="仿宋" w:hAnsi="仿宋" w:eastAsia="仿宋" w:cs="仿宋"/>
          <w:color w:val="auto"/>
          <w:kern w:val="0"/>
          <w:szCs w:val="24"/>
        </w:rPr>
        <w:t>19.2投标人未按照招标文件要求提供与</w:t>
      </w:r>
      <w:r>
        <w:rPr>
          <w:rFonts w:hint="eastAsia" w:ascii="仿宋" w:hAnsi="仿宋" w:eastAsia="仿宋" w:cs="仿宋"/>
          <w:color w:val="auto"/>
        </w:rPr>
        <w:t>资格条件相应的</w:t>
      </w:r>
      <w:r>
        <w:rPr>
          <w:rFonts w:hint="eastAsia" w:ascii="仿宋" w:hAnsi="仿宋" w:eastAsia="仿宋" w:cs="仿宋"/>
          <w:color w:val="auto"/>
          <w:kern w:val="0"/>
          <w:szCs w:val="24"/>
        </w:rPr>
        <w:t>有效资格证明材料的，视为</w:t>
      </w:r>
      <w:r>
        <w:rPr>
          <w:rFonts w:hint="eastAsia" w:ascii="仿宋" w:hAnsi="仿宋" w:eastAsia="仿宋" w:cs="仿宋"/>
          <w:color w:val="auto"/>
        </w:rPr>
        <w:t>投标人不具备招标文件中规定的资格要求，其投标无效。</w:t>
      </w:r>
    </w:p>
    <w:p>
      <w:pPr>
        <w:pStyle w:val="132"/>
        <w:spacing w:before="0"/>
        <w:ind w:firstLine="480"/>
        <w:rPr>
          <w:rFonts w:hint="eastAsia"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rPr>
        <w:t>3对未通过资格审查的投标人，采购人或采购代理机构告知其未通过的原因。</w:t>
      </w:r>
    </w:p>
    <w:p>
      <w:pPr>
        <w:pStyle w:val="132"/>
        <w:spacing w:before="0"/>
        <w:ind w:firstLine="480"/>
        <w:rPr>
          <w:rFonts w:hint="eastAsia"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rPr>
        <w:t>4合格投标人不足3家的，不再评标。</w:t>
      </w:r>
    </w:p>
    <w:p>
      <w:pPr>
        <w:pStyle w:val="132"/>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20、信用信息查询</w:t>
      </w:r>
    </w:p>
    <w:p>
      <w:pPr>
        <w:pStyle w:val="132"/>
        <w:spacing w:before="0"/>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20.1信用信息查询渠道及截止时间：采购代理机构将在资格审查时通过“信用中国”网站(www.creditchina.gov.cn)、中国政府采购网(www.ccgp.gov.cn)渠道查询投标人接受资格审查时的信用记录。</w:t>
      </w:r>
    </w:p>
    <w:p>
      <w:pPr>
        <w:pStyle w:val="132"/>
        <w:spacing w:before="0"/>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20.2信用信息查询记录和证据留存的具体方式：现场查询的投标人的信用记录、查询结果经确认后将与采购文件一起存档。</w:t>
      </w:r>
    </w:p>
    <w:p>
      <w:pPr>
        <w:pStyle w:val="132"/>
        <w:spacing w:before="0"/>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20.3信用信息的使用规则：经查询列入失信被执行人名单、重大税收违法案件当事人名单、政府采购严重违法失信行为记录名单的投标人将被拒绝参与采购活动。</w:t>
      </w:r>
    </w:p>
    <w:p>
      <w:pPr>
        <w:pStyle w:val="132"/>
        <w:spacing w:before="0"/>
        <w:ind w:firstLine="480"/>
        <w:rPr>
          <w:rFonts w:hint="eastAsia" w:ascii="仿宋" w:hAnsi="仿宋" w:eastAsia="仿宋" w:cs="仿宋"/>
          <w:color w:val="auto"/>
        </w:rPr>
      </w:pPr>
      <w:r>
        <w:rPr>
          <w:rFonts w:hint="eastAsia" w:ascii="仿宋" w:hAnsi="仿宋" w:eastAsia="仿宋" w:cs="仿宋"/>
          <w:color w:val="auto"/>
          <w:kern w:val="0"/>
          <w:szCs w:val="24"/>
        </w:rPr>
        <w:t>20.4联合体信用信息查询：两个以上的自然人、法人或者其他组织组成一个联合体，以一个供应商的身份共同参加采购活动的，应当对所有联合体成员进行信用记录查询，联合体成员存在不良信用记录的，视同联合体存在不良信用记录</w:t>
      </w:r>
      <w:r>
        <w:rPr>
          <w:rFonts w:hint="eastAsia" w:ascii="仿宋" w:hAnsi="仿宋" w:eastAsia="仿宋" w:cs="仿宋"/>
          <w:color w:val="auto"/>
        </w:rPr>
        <w:t>。</w:t>
      </w:r>
    </w:p>
    <w:p>
      <w:pPr>
        <w:pStyle w:val="132"/>
        <w:spacing w:before="0"/>
        <w:ind w:firstLine="0" w:firstLineChars="0"/>
        <w:rPr>
          <w:rFonts w:hint="eastAsia" w:ascii="仿宋" w:hAnsi="仿宋" w:eastAsia="仿宋" w:cs="仿宋"/>
          <w:color w:val="auto"/>
          <w:kern w:val="0"/>
          <w:szCs w:val="24"/>
        </w:rPr>
      </w:pPr>
    </w:p>
    <w:p>
      <w:pPr>
        <w:snapToGrid w:val="0"/>
        <w:spacing w:line="36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五、评标</w:t>
      </w:r>
    </w:p>
    <w:p>
      <w:pPr>
        <w:spacing w:line="360" w:lineRule="auto"/>
        <w:rPr>
          <w:rFonts w:hint="eastAsia" w:ascii="仿宋" w:hAnsi="仿宋" w:eastAsia="仿宋" w:cs="仿宋"/>
          <w:b/>
          <w:color w:val="auto"/>
          <w:sz w:val="24"/>
        </w:rPr>
      </w:pPr>
      <w:bookmarkStart w:id="16" w:name="_Toc91899903"/>
      <w:r>
        <w:rPr>
          <w:rFonts w:hint="eastAsia" w:ascii="仿宋" w:hAnsi="仿宋" w:eastAsia="仿宋" w:cs="仿宋"/>
          <w:b/>
          <w:color w:val="auto"/>
          <w:sz w:val="24"/>
        </w:rPr>
        <w:t>21.</w:t>
      </w:r>
      <w:r>
        <w:rPr>
          <w:rFonts w:hint="eastAsia" w:ascii="仿宋" w:hAnsi="仿宋" w:eastAsia="仿宋" w:cs="仿宋"/>
          <w:color w:val="auto"/>
        </w:rPr>
        <w:t xml:space="preserve"> </w:t>
      </w:r>
      <w:r>
        <w:rPr>
          <w:rFonts w:hint="eastAsia" w:ascii="仿宋" w:hAnsi="仿宋" w:eastAsia="仿宋" w:cs="仿宋"/>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rPr>
        <w:t>详见招标文件第四部分评标办法。</w:t>
      </w:r>
    </w:p>
    <w:p>
      <w:pPr>
        <w:spacing w:line="360" w:lineRule="auto"/>
        <w:rPr>
          <w:rFonts w:hint="eastAsia" w:ascii="仿宋" w:hAnsi="仿宋" w:eastAsia="仿宋" w:cs="仿宋"/>
          <w:b/>
          <w:color w:val="auto"/>
          <w:sz w:val="24"/>
        </w:rPr>
      </w:pPr>
    </w:p>
    <w:p>
      <w:pPr>
        <w:snapToGrid w:val="0"/>
        <w:spacing w:line="36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六、定 标</w:t>
      </w:r>
    </w:p>
    <w:p>
      <w:pPr>
        <w:pStyle w:val="27"/>
        <w:spacing w:line="360" w:lineRule="auto"/>
        <w:ind w:left="479" w:hanging="479" w:hangingChars="199"/>
        <w:rPr>
          <w:rFonts w:hint="eastAsia" w:ascii="仿宋" w:hAnsi="仿宋" w:eastAsia="仿宋" w:cs="仿宋"/>
          <w:b/>
          <w:color w:val="auto"/>
        </w:rPr>
      </w:pPr>
      <w:r>
        <w:rPr>
          <w:rFonts w:hint="eastAsia" w:ascii="仿宋" w:hAnsi="仿宋" w:eastAsia="仿宋" w:cs="仿宋"/>
          <w:b/>
          <w:color w:val="auto"/>
        </w:rPr>
        <w:t>22. 确定中标供应商</w:t>
      </w:r>
    </w:p>
    <w:p>
      <w:pPr>
        <w:pStyle w:val="132"/>
        <w:snapToGrid w:val="0"/>
        <w:spacing w:before="0"/>
        <w:ind w:firstLine="480"/>
        <w:rPr>
          <w:rFonts w:hint="eastAsia" w:ascii="仿宋" w:hAnsi="仿宋" w:eastAsia="仿宋" w:cs="仿宋"/>
          <w:b/>
          <w:color w:val="auto"/>
          <w:szCs w:val="24"/>
        </w:rPr>
      </w:pPr>
      <w:r>
        <w:rPr>
          <w:rFonts w:hint="eastAsia" w:ascii="仿宋" w:hAnsi="仿宋" w:eastAsia="仿宋" w:cs="仿宋"/>
          <w:color w:val="auto"/>
          <w:szCs w:val="24"/>
        </w:rPr>
        <w:t>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2"/>
        <w:snapToGrid w:val="0"/>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23.2中标结果公告内容包括采购人及其委托的采购代理机构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rPr>
      </w:pPr>
    </w:p>
    <w:p>
      <w:pPr>
        <w:snapToGrid w:val="0"/>
        <w:spacing w:line="360" w:lineRule="auto"/>
        <w:ind w:left="120" w:leftChars="57" w:firstLine="482" w:firstLineChars="150"/>
        <w:jc w:val="center"/>
        <w:rPr>
          <w:rFonts w:hint="eastAsia" w:ascii="仿宋" w:hAnsi="仿宋" w:eastAsia="仿宋" w:cs="仿宋"/>
          <w:b/>
          <w:color w:val="auto"/>
          <w:sz w:val="32"/>
        </w:rPr>
      </w:pPr>
      <w:r>
        <w:rPr>
          <w:rFonts w:hint="eastAsia" w:ascii="仿宋" w:hAnsi="仿宋" w:eastAsia="仿宋" w:cs="仿宋"/>
          <w:b/>
          <w:color w:val="auto"/>
          <w:sz w:val="32"/>
        </w:rPr>
        <w:t>七、合同授予</w:t>
      </w:r>
    </w:p>
    <w:p>
      <w:pPr>
        <w:pStyle w:val="27"/>
        <w:spacing w:line="360" w:lineRule="auto"/>
        <w:ind w:left="479" w:hanging="479" w:hangingChars="199"/>
        <w:rPr>
          <w:rFonts w:hint="eastAsia" w:ascii="仿宋" w:hAnsi="仿宋" w:eastAsia="仿宋" w:cs="仿宋"/>
          <w:b/>
          <w:color w:val="auto"/>
        </w:rPr>
      </w:pPr>
      <w:r>
        <w:rPr>
          <w:rFonts w:hint="eastAsia" w:ascii="仿宋" w:hAnsi="仿宋" w:eastAsia="仿宋" w:cs="仿宋"/>
          <w:b/>
          <w:color w:val="auto"/>
        </w:rPr>
        <w:t xml:space="preserve">24. </w:t>
      </w:r>
      <w:r>
        <w:rPr>
          <w:rFonts w:hint="eastAsia" w:ascii="仿宋" w:hAnsi="仿宋" w:eastAsia="仿宋" w:cs="仿宋"/>
          <w:color w:val="auto"/>
        </w:rPr>
        <w:t>合同主要条款详见第五部分拟签订的合同文本。</w:t>
      </w:r>
    </w:p>
    <w:p>
      <w:pPr>
        <w:pStyle w:val="27"/>
        <w:spacing w:line="360" w:lineRule="auto"/>
        <w:ind w:left="479" w:hanging="479" w:hangingChars="199"/>
        <w:rPr>
          <w:rFonts w:hint="eastAsia" w:ascii="仿宋" w:hAnsi="仿宋" w:eastAsia="仿宋" w:cs="仿宋"/>
          <w:b/>
          <w:color w:val="auto"/>
        </w:rPr>
      </w:pPr>
      <w:r>
        <w:rPr>
          <w:rFonts w:hint="eastAsia" w:ascii="仿宋" w:hAnsi="仿宋" w:eastAsia="仿宋" w:cs="仿宋"/>
          <w:b/>
          <w:color w:val="auto"/>
        </w:rPr>
        <w:t>25. 合同的签订</w:t>
      </w:r>
    </w:p>
    <w:p>
      <w:pPr>
        <w:widowControl/>
        <w:shd w:val="clear" w:color="auto" w:fill="FFFFFF"/>
        <w:spacing w:line="360" w:lineRule="auto"/>
        <w:ind w:firstLine="480"/>
        <w:jc w:val="left"/>
        <w:rPr>
          <w:rFonts w:hint="eastAsia" w:ascii="仿宋" w:hAnsi="仿宋" w:eastAsia="仿宋" w:cs="仿宋"/>
          <w:color w:val="auto"/>
          <w:kern w:val="0"/>
          <w:sz w:val="24"/>
        </w:rPr>
      </w:pPr>
      <w:r>
        <w:rPr>
          <w:rFonts w:hint="eastAsia" w:ascii="仿宋" w:hAnsi="仿宋" w:eastAsia="仿宋" w:cs="仿宋"/>
          <w:color w:val="auto"/>
          <w:sz w:val="24"/>
        </w:rPr>
        <w:t>25.1</w:t>
      </w:r>
      <w:r>
        <w:rPr>
          <w:rFonts w:hint="eastAsia" w:ascii="仿宋" w:hAnsi="仿宋" w:eastAsia="仿宋" w:cs="仿宋"/>
          <w:color w:val="auto"/>
          <w:kern w:val="0"/>
          <w:sz w:val="24"/>
        </w:rPr>
        <w:t xml:space="preserve"> 采购人与中标人应当在中标通知书发出之日起三十日内，按照招标文件确定的事项签订采购合同。鼓励有条件的采购人视情缩减采购合同签订时限，提高采购效率，杜绝“冷、硬、横、推”等不当行为。除不可抗力等特殊情况外，原则上应当在中标通知书发出之日起10个工作日内，与中标供应商按照采购文件确定的事项签订采购合同。</w:t>
      </w:r>
    </w:p>
    <w:p>
      <w:pPr>
        <w:pStyle w:val="132"/>
        <w:snapToGrid w:val="0"/>
        <w:spacing w:before="0"/>
        <w:ind w:firstLine="480"/>
        <w:rPr>
          <w:rFonts w:hint="eastAsia" w:ascii="仿宋" w:hAnsi="仿宋" w:eastAsia="仿宋" w:cs="仿宋"/>
          <w:color w:val="auto"/>
          <w:kern w:val="0"/>
        </w:rPr>
      </w:pPr>
      <w:r>
        <w:rPr>
          <w:rFonts w:hint="eastAsia" w:ascii="仿宋" w:hAnsi="仿宋" w:eastAsia="仿宋" w:cs="仿宋"/>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2"/>
        <w:snapToGrid w:val="0"/>
        <w:spacing w:before="0"/>
        <w:ind w:firstLine="480"/>
        <w:rPr>
          <w:rFonts w:hint="eastAsia" w:ascii="仿宋" w:hAnsi="仿宋" w:eastAsia="仿宋" w:cs="仿宋"/>
          <w:color w:val="auto"/>
        </w:rPr>
      </w:pPr>
      <w:r>
        <w:rPr>
          <w:rFonts w:hint="eastAsia" w:ascii="仿宋" w:hAnsi="仿宋" w:eastAsia="仿宋" w:cs="仿宋"/>
          <w:color w:val="auto"/>
        </w:rPr>
        <w:t>25.3如签订合同并生效后，供应商无故拒绝或延期，除按照合同条款处理外，列入不良行为记录一次，并给予通报。</w:t>
      </w:r>
    </w:p>
    <w:p>
      <w:pPr>
        <w:pStyle w:val="132"/>
        <w:snapToGrid w:val="0"/>
        <w:spacing w:before="0"/>
        <w:ind w:firstLine="480"/>
        <w:rPr>
          <w:rFonts w:hint="eastAsia" w:ascii="仿宋" w:hAnsi="仿宋" w:eastAsia="仿宋" w:cs="仿宋"/>
          <w:color w:val="auto"/>
        </w:rPr>
      </w:pPr>
      <w:r>
        <w:rPr>
          <w:rFonts w:hint="eastAsia" w:ascii="仿宋" w:hAnsi="仿宋" w:eastAsia="仿宋" w:cs="仿宋"/>
          <w:color w:val="auto"/>
        </w:rPr>
        <w:t>25.4中标供应商拒绝与采购人签订合同的，采购人可以按照评审报告推荐的中标或者成交候选人名单排序，确定下一候选人为中标供应商，也可以重新开展采购活动。</w:t>
      </w:r>
    </w:p>
    <w:p>
      <w:pPr>
        <w:pStyle w:val="27"/>
        <w:spacing w:line="360" w:lineRule="auto"/>
        <w:ind w:left="479" w:hanging="479" w:hangingChars="199"/>
        <w:rPr>
          <w:rFonts w:hint="eastAsia" w:ascii="仿宋" w:hAnsi="仿宋" w:eastAsia="仿宋" w:cs="仿宋"/>
          <w:b/>
          <w:color w:val="auto"/>
        </w:rPr>
      </w:pPr>
      <w:r>
        <w:rPr>
          <w:rFonts w:hint="eastAsia" w:ascii="仿宋" w:hAnsi="仿宋" w:eastAsia="仿宋" w:cs="仿宋"/>
          <w:b/>
          <w:color w:val="auto"/>
        </w:rPr>
        <w:t>26. 履约保证金</w:t>
      </w:r>
    </w:p>
    <w:p>
      <w:pPr>
        <w:tabs>
          <w:tab w:val="left" w:pos="0"/>
        </w:tabs>
        <w:spacing w:line="360" w:lineRule="auto"/>
        <w:ind w:firstLine="482"/>
        <w:rPr>
          <w:rFonts w:hint="eastAsia" w:ascii="仿宋" w:hAnsi="仿宋" w:eastAsia="仿宋" w:cs="仿宋"/>
          <w:color w:val="auto"/>
          <w:sz w:val="24"/>
        </w:rPr>
      </w:pPr>
      <w:r>
        <w:rPr>
          <w:rFonts w:hint="eastAsia" w:ascii="仿宋" w:hAnsi="仿宋" w:eastAsia="仿宋" w:cs="仿宋"/>
          <w:color w:val="auto"/>
          <w:sz w:val="24"/>
        </w:rPr>
        <w:t>履约保证金的数额不得超过采购合同金额的1%</w:t>
      </w:r>
      <w:r>
        <w:rPr>
          <w:rFonts w:hint="eastAsia" w:ascii="仿宋" w:hAnsi="仿宋" w:eastAsia="仿宋" w:cs="仿宋"/>
          <w:color w:val="auto"/>
          <w:sz w:val="24"/>
          <w:lang w:eastAsia="zh-CN"/>
        </w:rPr>
        <w:t>。</w:t>
      </w:r>
      <w:r>
        <w:rPr>
          <w:rFonts w:hint="eastAsia" w:ascii="仿宋" w:hAnsi="仿宋" w:eastAsia="仿宋" w:cs="仿宋"/>
          <w:color w:val="auto"/>
          <w:sz w:val="24"/>
        </w:rPr>
        <w:t>鼓励根据项目特点、供应商诚信等因素免收履约保证金或降低缴纳比例。项目验收结束后应及时退还履约保证金，延迟退还的，应当按照合同约定和法律规定承担相应的赔偿责任。</w:t>
      </w:r>
    </w:p>
    <w:p>
      <w:pPr>
        <w:pStyle w:val="6"/>
        <w:rPr>
          <w:rFonts w:hint="eastAsia" w:ascii="仿宋" w:hAnsi="仿宋" w:eastAsia="仿宋" w:cs="仿宋"/>
          <w:color w:val="auto"/>
        </w:rPr>
      </w:pPr>
      <w:r>
        <w:rPr>
          <w:rFonts w:hint="eastAsia" w:ascii="仿宋" w:hAnsi="仿宋" w:eastAsia="仿宋" w:cs="仿宋"/>
          <w:color w:val="auto"/>
          <w:sz w:val="24"/>
          <w:lang w:val="en-US"/>
        </w:rPr>
        <w:t>27.预付款</w:t>
      </w:r>
    </w:p>
    <w:p>
      <w:pPr>
        <w:adjustRightInd/>
        <w:spacing w:line="360" w:lineRule="auto"/>
        <w:ind w:firstLine="480" w:firstLineChars="200"/>
        <w:rPr>
          <w:rFonts w:hint="eastAsia" w:ascii="仿宋" w:hAnsi="仿宋" w:eastAsia="仿宋" w:cs="仿宋"/>
          <w:color w:val="auto"/>
        </w:rPr>
      </w:pPr>
      <w:r>
        <w:rPr>
          <w:rFonts w:hint="eastAsia" w:ascii="仿宋" w:hAnsi="仿宋" w:eastAsia="仿宋" w:cs="仿宋"/>
          <w:color w:val="auto"/>
          <w:sz w:val="24"/>
        </w:rPr>
        <w:t>采购单位应当在采购合同中约定预付款，对中小企业合同预付款比例原则上不低于合同金额的</w:t>
      </w:r>
      <w:r>
        <w:rPr>
          <w:rFonts w:hint="eastAsia" w:ascii="仿宋" w:hAnsi="仿宋" w:eastAsia="仿宋" w:cs="仿宋"/>
          <w:color w:val="auto"/>
          <w:sz w:val="24"/>
          <w:lang w:val="en-US" w:eastAsia="zh-CN"/>
        </w:rPr>
        <w:t>40</w:t>
      </w:r>
      <w:r>
        <w:rPr>
          <w:rFonts w:hint="eastAsia" w:ascii="仿宋" w:hAnsi="仿宋" w:eastAsia="仿宋" w:cs="仿宋"/>
          <w:color w:val="auto"/>
          <w:sz w:val="24"/>
        </w:rPr>
        <w:t>％，不高于合同金额的70%；项目分年安排预算的，每年预付款比例不低于项目年度计划支付资金额的50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采购预付款应在合同生效以及具备实施条件后5个工作日内支付。</w:t>
      </w:r>
    </w:p>
    <w:p>
      <w:pPr>
        <w:rPr>
          <w:rFonts w:hint="eastAsia" w:ascii="仿宋" w:hAnsi="仿宋" w:eastAsia="仿宋" w:cs="仿宋"/>
          <w:color w:val="auto"/>
        </w:rPr>
      </w:pPr>
    </w:p>
    <w:p>
      <w:pPr>
        <w:snapToGrid w:val="0"/>
        <w:spacing w:line="360" w:lineRule="auto"/>
        <w:ind w:firstLine="3357" w:firstLineChars="1045"/>
        <w:rPr>
          <w:rFonts w:hint="eastAsia" w:ascii="仿宋" w:hAnsi="仿宋" w:eastAsia="仿宋" w:cs="仿宋"/>
          <w:b/>
          <w:color w:val="auto"/>
          <w:sz w:val="32"/>
        </w:rPr>
      </w:pPr>
    </w:p>
    <w:p>
      <w:pPr>
        <w:snapToGrid w:val="0"/>
        <w:spacing w:line="360" w:lineRule="auto"/>
        <w:ind w:firstLine="3357" w:firstLineChars="1045"/>
        <w:rPr>
          <w:rFonts w:hint="eastAsia" w:ascii="仿宋" w:hAnsi="仿宋" w:eastAsia="仿宋" w:cs="仿宋"/>
          <w:b/>
          <w:color w:val="auto"/>
          <w:sz w:val="24"/>
        </w:rPr>
      </w:pPr>
      <w:r>
        <w:rPr>
          <w:rFonts w:hint="eastAsia" w:ascii="仿宋" w:hAnsi="仿宋" w:eastAsia="仿宋" w:cs="仿宋"/>
          <w:b/>
          <w:color w:val="auto"/>
          <w:sz w:val="32"/>
        </w:rPr>
        <w:t>八、电子交易活动的中止</w:t>
      </w:r>
    </w:p>
    <w:p>
      <w:pPr>
        <w:pStyle w:val="132"/>
        <w:snapToGrid w:val="0"/>
        <w:spacing w:before="0"/>
        <w:ind w:firstLine="0" w:firstLineChars="0"/>
        <w:rPr>
          <w:rFonts w:hint="eastAsia" w:ascii="仿宋" w:hAnsi="仿宋" w:eastAsia="仿宋" w:cs="仿宋"/>
          <w:color w:val="auto"/>
        </w:rPr>
      </w:pPr>
      <w:r>
        <w:rPr>
          <w:rFonts w:hint="eastAsia" w:ascii="仿宋" w:hAnsi="仿宋" w:eastAsia="仿宋" w:cs="仿宋"/>
          <w:b/>
          <w:bCs/>
          <w:color w:val="auto"/>
        </w:rPr>
        <w:t>2</w:t>
      </w:r>
      <w:r>
        <w:rPr>
          <w:rFonts w:hint="eastAsia" w:ascii="仿宋" w:hAnsi="仿宋" w:eastAsia="仿宋" w:cs="仿宋"/>
          <w:b/>
          <w:bCs/>
          <w:color w:val="auto"/>
          <w:szCs w:val="24"/>
        </w:rPr>
        <w:t>8</w:t>
      </w:r>
      <w:r>
        <w:rPr>
          <w:rFonts w:hint="eastAsia" w:ascii="仿宋" w:hAnsi="仿宋" w:eastAsia="仿宋" w:cs="仿宋"/>
          <w:b/>
          <w:color w:val="auto"/>
          <w:szCs w:val="24"/>
        </w:rPr>
        <w:t>. 电子交易活动的中止。</w:t>
      </w:r>
      <w:r>
        <w:rPr>
          <w:rFonts w:hint="eastAsia" w:ascii="仿宋" w:hAnsi="仿宋" w:eastAsia="仿宋" w:cs="仿宋"/>
          <w:color w:val="auto"/>
        </w:rPr>
        <w:t>采购过程中出现以下情形，导致电子交易平台无法正常运行，或者无法保证电子交易的公平、公正和安全时，采购代理机构可中止电子交易活动：</w:t>
      </w:r>
    </w:p>
    <w:p>
      <w:pPr>
        <w:pStyle w:val="132"/>
        <w:snapToGrid w:val="0"/>
        <w:spacing w:before="0"/>
        <w:ind w:firstLine="480"/>
        <w:rPr>
          <w:rFonts w:hint="eastAsia" w:ascii="仿宋" w:hAnsi="仿宋" w:eastAsia="仿宋" w:cs="仿宋"/>
          <w:color w:val="auto"/>
        </w:rPr>
      </w:pPr>
      <w:r>
        <w:rPr>
          <w:rFonts w:hint="eastAsia" w:ascii="仿宋" w:hAnsi="仿宋" w:eastAsia="仿宋" w:cs="仿宋"/>
          <w:color w:val="auto"/>
        </w:rPr>
        <w:t xml:space="preserve">28.1电子交易平台发生故障而无法登录访问的； </w:t>
      </w:r>
    </w:p>
    <w:p>
      <w:pPr>
        <w:pStyle w:val="132"/>
        <w:snapToGrid w:val="0"/>
        <w:spacing w:before="0"/>
        <w:ind w:firstLine="480"/>
        <w:rPr>
          <w:rFonts w:hint="eastAsia" w:ascii="仿宋" w:hAnsi="仿宋" w:eastAsia="仿宋" w:cs="仿宋"/>
          <w:color w:val="auto"/>
        </w:rPr>
      </w:pPr>
      <w:r>
        <w:rPr>
          <w:rFonts w:hint="eastAsia" w:ascii="仿宋" w:hAnsi="仿宋" w:eastAsia="仿宋" w:cs="仿宋"/>
          <w:color w:val="auto"/>
        </w:rPr>
        <w:t>28.2电子交易平台应用或数据库出现错误，不能进行正常操作的；</w:t>
      </w:r>
    </w:p>
    <w:p>
      <w:pPr>
        <w:pStyle w:val="132"/>
        <w:snapToGrid w:val="0"/>
        <w:spacing w:before="0"/>
        <w:ind w:firstLine="480"/>
        <w:rPr>
          <w:rFonts w:hint="eastAsia" w:ascii="仿宋" w:hAnsi="仿宋" w:eastAsia="仿宋" w:cs="仿宋"/>
          <w:color w:val="auto"/>
        </w:rPr>
      </w:pPr>
      <w:r>
        <w:rPr>
          <w:rFonts w:hint="eastAsia" w:ascii="仿宋" w:hAnsi="仿宋" w:eastAsia="仿宋" w:cs="仿宋"/>
          <w:color w:val="auto"/>
        </w:rPr>
        <w:t>28.3电子交易平台发现严重安全漏洞，有潜在泄密危险的；</w:t>
      </w:r>
    </w:p>
    <w:p>
      <w:pPr>
        <w:pStyle w:val="132"/>
        <w:snapToGrid w:val="0"/>
        <w:spacing w:before="0"/>
        <w:ind w:firstLine="480"/>
        <w:rPr>
          <w:rFonts w:hint="eastAsia" w:ascii="仿宋" w:hAnsi="仿宋" w:eastAsia="仿宋" w:cs="仿宋"/>
          <w:color w:val="auto"/>
        </w:rPr>
      </w:pPr>
      <w:r>
        <w:rPr>
          <w:rFonts w:hint="eastAsia" w:ascii="仿宋" w:hAnsi="仿宋" w:eastAsia="仿宋" w:cs="仿宋"/>
          <w:color w:val="auto"/>
        </w:rPr>
        <w:t xml:space="preserve">28.4病毒发作导致不能进行正常操作的； </w:t>
      </w:r>
    </w:p>
    <w:p>
      <w:pPr>
        <w:pStyle w:val="132"/>
        <w:snapToGrid w:val="0"/>
        <w:spacing w:before="0"/>
        <w:ind w:firstLine="480"/>
        <w:rPr>
          <w:rFonts w:hint="eastAsia" w:ascii="仿宋" w:hAnsi="仿宋" w:eastAsia="仿宋" w:cs="仿宋"/>
          <w:color w:val="auto"/>
        </w:rPr>
      </w:pPr>
      <w:r>
        <w:rPr>
          <w:rFonts w:hint="eastAsia" w:ascii="仿宋" w:hAnsi="仿宋" w:eastAsia="仿宋" w:cs="仿宋"/>
          <w:color w:val="auto"/>
        </w:rPr>
        <w:t>28.5其他无法保证电子交易的公平、公正和安全的情况。</w:t>
      </w:r>
    </w:p>
    <w:p>
      <w:pPr>
        <w:pStyle w:val="132"/>
        <w:snapToGrid w:val="0"/>
        <w:spacing w:before="0"/>
        <w:ind w:firstLine="0" w:firstLineChars="0"/>
        <w:rPr>
          <w:rFonts w:hint="eastAsia" w:ascii="仿宋" w:hAnsi="仿宋" w:eastAsia="仿宋" w:cs="仿宋"/>
          <w:color w:val="auto"/>
        </w:rPr>
      </w:pPr>
      <w:r>
        <w:rPr>
          <w:rFonts w:hint="eastAsia" w:ascii="仿宋" w:hAnsi="仿宋" w:eastAsia="仿宋" w:cs="仿宋"/>
          <w:color w:val="auto"/>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rPr>
      </w:pPr>
    </w:p>
    <w:p>
      <w:pPr>
        <w:tabs>
          <w:tab w:val="left" w:pos="0"/>
        </w:tabs>
        <w:spacing w:line="360" w:lineRule="auto"/>
        <w:ind w:firstLine="480"/>
        <w:rPr>
          <w:rFonts w:hint="eastAsia" w:ascii="仿宋" w:hAnsi="仿宋" w:eastAsia="仿宋" w:cs="仿宋"/>
          <w:color w:val="auto"/>
          <w:sz w:val="18"/>
          <w:szCs w:val="18"/>
        </w:rPr>
      </w:pPr>
      <w:r>
        <w:rPr>
          <w:rFonts w:hint="eastAsia" w:ascii="仿宋" w:hAnsi="仿宋" w:eastAsia="仿宋" w:cs="仿宋"/>
          <w:color w:val="auto"/>
          <w:kern w:val="0"/>
          <w:sz w:val="24"/>
        </w:rPr>
        <w:t>。</w:t>
      </w:r>
    </w:p>
    <w:bookmarkEnd w:id="16"/>
    <w:p>
      <w:pPr>
        <w:tabs>
          <w:tab w:val="left" w:pos="0"/>
        </w:tabs>
        <w:spacing w:line="360" w:lineRule="auto"/>
        <w:ind w:firstLine="480"/>
        <w:rPr>
          <w:rFonts w:hint="eastAsia" w:ascii="仿宋" w:hAnsi="仿宋" w:eastAsia="仿宋" w:cs="仿宋"/>
          <w:color w:val="auto"/>
          <w:kern w:val="0"/>
          <w:sz w:val="24"/>
        </w:rPr>
        <w:sectPr>
          <w:headerReference r:id="rId6" w:type="first"/>
          <w:footerReference r:id="rId9" w:type="first"/>
          <w:headerReference r:id="rId5" w:type="default"/>
          <w:footerReference r:id="rId7" w:type="default"/>
          <w:footerReference r:id="rId8" w:type="even"/>
          <w:pgSz w:w="11906" w:h="16838"/>
          <w:pgMar w:top="680" w:right="1418" w:bottom="468" w:left="1418" w:header="851" w:footer="992" w:gutter="0"/>
          <w:cols w:space="720" w:num="1"/>
          <w:titlePg/>
          <w:docGrid w:linePitch="312" w:charSpace="0"/>
        </w:sectPr>
      </w:pPr>
      <w:bookmarkStart w:id="17" w:name="_Hlt75236101"/>
      <w:bookmarkEnd w:id="17"/>
      <w:bookmarkStart w:id="18" w:name="_Hlt75236011"/>
      <w:bookmarkEnd w:id="18"/>
      <w:bookmarkStart w:id="19" w:name="_Hlt74730295"/>
      <w:bookmarkEnd w:id="19"/>
      <w:bookmarkStart w:id="20" w:name="_Hlt75236290"/>
      <w:bookmarkEnd w:id="20"/>
      <w:bookmarkStart w:id="21" w:name="_Hlt74729768"/>
      <w:bookmarkEnd w:id="21"/>
      <w:bookmarkStart w:id="22" w:name="_Hlt68072990"/>
      <w:bookmarkEnd w:id="22"/>
      <w:bookmarkStart w:id="23" w:name="_Hlt74714665"/>
      <w:bookmarkEnd w:id="23"/>
      <w:bookmarkStart w:id="24" w:name="_Hlt68403820"/>
      <w:bookmarkEnd w:id="24"/>
      <w:bookmarkStart w:id="25" w:name="_Hlt68073093"/>
      <w:bookmarkEnd w:id="25"/>
      <w:bookmarkStart w:id="26" w:name="_Hlt68072998"/>
      <w:bookmarkEnd w:id="26"/>
      <w:bookmarkStart w:id="27" w:name="_Hlt74707468"/>
      <w:bookmarkEnd w:id="27"/>
      <w:bookmarkStart w:id="28" w:name="_Hlt68057669"/>
      <w:bookmarkEnd w:id="28"/>
    </w:p>
    <w:bookmarkEnd w:id="11"/>
    <w:bookmarkEnd w:id="12"/>
    <w:p>
      <w:pPr>
        <w:numPr>
          <w:ilvl w:val="0"/>
          <w:numId w:val="3"/>
        </w:numPr>
        <w:spacing w:line="360" w:lineRule="auto"/>
        <w:jc w:val="center"/>
        <w:outlineLvl w:val="0"/>
        <w:rPr>
          <w:rFonts w:hint="eastAsia" w:ascii="仿宋" w:hAnsi="仿宋" w:eastAsia="仿宋" w:cs="仿宋"/>
          <w:b/>
          <w:color w:val="auto"/>
          <w:sz w:val="36"/>
          <w:szCs w:val="36"/>
        </w:rPr>
      </w:pPr>
      <w:bookmarkStart w:id="29" w:name="第四部分"/>
      <w:r>
        <w:rPr>
          <w:rFonts w:hint="eastAsia" w:ascii="仿宋" w:hAnsi="仿宋" w:eastAsia="仿宋" w:cs="仿宋"/>
          <w:b/>
          <w:color w:val="auto"/>
          <w:sz w:val="36"/>
          <w:szCs w:val="36"/>
        </w:rPr>
        <w:t xml:space="preserve">  采购需求</w:t>
      </w:r>
    </w:p>
    <w:p>
      <w:pPr>
        <w:spacing w:line="520" w:lineRule="exact"/>
        <w:ind w:firstLine="281" w:firstLineChars="100"/>
        <w:rPr>
          <w:rStyle w:val="327"/>
          <w:rFonts w:hint="eastAsia" w:ascii="仿宋" w:hAnsi="仿宋" w:eastAsia="仿宋" w:cs="仿宋"/>
          <w:color w:val="auto"/>
          <w:highlight w:val="none"/>
          <w:lang w:val="en-US" w:eastAsia="zh-CN"/>
        </w:rPr>
      </w:pPr>
      <w:r>
        <w:rPr>
          <w:rStyle w:val="327"/>
          <w:rFonts w:hint="eastAsia" w:ascii="仿宋" w:hAnsi="仿宋" w:eastAsia="仿宋" w:cs="仿宋"/>
          <w:color w:val="auto"/>
          <w:highlight w:val="none"/>
          <w:lang w:val="en-US" w:eastAsia="zh-CN"/>
        </w:rPr>
        <w:t>一、采购清单</w:t>
      </w:r>
    </w:p>
    <w:tbl>
      <w:tblPr>
        <w:tblStyle w:val="62"/>
        <w:tblW w:w="10082" w:type="dxa"/>
        <w:jc w:val="center"/>
        <w:tblLayout w:type="fixed"/>
        <w:tblCellMar>
          <w:top w:w="0" w:type="dxa"/>
          <w:left w:w="108" w:type="dxa"/>
          <w:bottom w:w="0" w:type="dxa"/>
          <w:right w:w="108" w:type="dxa"/>
        </w:tblCellMar>
      </w:tblPr>
      <w:tblGrid>
        <w:gridCol w:w="1502"/>
        <w:gridCol w:w="3607"/>
        <w:gridCol w:w="3608"/>
        <w:gridCol w:w="1365"/>
      </w:tblGrid>
      <w:tr>
        <w:tblPrEx>
          <w:tblCellMar>
            <w:top w:w="0" w:type="dxa"/>
            <w:left w:w="108" w:type="dxa"/>
            <w:bottom w:w="0" w:type="dxa"/>
            <w:right w:w="108" w:type="dxa"/>
          </w:tblCellMar>
        </w:tblPrEx>
        <w:trPr>
          <w:trHeight w:val="720" w:hRule="atLeast"/>
          <w:jc w:val="center"/>
        </w:trPr>
        <w:tc>
          <w:tcPr>
            <w:tcW w:w="150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名称</w:t>
            </w:r>
          </w:p>
        </w:tc>
        <w:tc>
          <w:tcPr>
            <w:tcW w:w="7215" w:type="dxa"/>
            <w:gridSpan w:val="2"/>
            <w:tcBorders>
              <w:top w:val="single" w:color="auto" w:sz="4" w:space="0"/>
              <w:left w:val="nil"/>
              <w:bottom w:val="single" w:color="auto" w:sz="4" w:space="0"/>
              <w:right w:val="single" w:color="auto" w:sz="4" w:space="0"/>
            </w:tcBorders>
            <w:noWrap/>
            <w:vAlign w:val="center"/>
          </w:tcPr>
          <w:p>
            <w:pPr>
              <w:snapToGrid w:val="0"/>
              <w:spacing w:line="360" w:lineRule="exact"/>
              <w:jc w:val="center"/>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主要</w:t>
            </w:r>
            <w:r>
              <w:rPr>
                <w:rFonts w:hint="eastAsia" w:ascii="仿宋" w:hAnsi="仿宋" w:eastAsia="仿宋" w:cs="仿宋"/>
                <w:b/>
                <w:bCs/>
                <w:color w:val="auto"/>
                <w:sz w:val="24"/>
                <w:szCs w:val="24"/>
                <w:highlight w:val="none"/>
                <w:lang w:val="en-US" w:eastAsia="zh-CN"/>
              </w:rPr>
              <w:t>参数</w:t>
            </w:r>
          </w:p>
        </w:tc>
        <w:tc>
          <w:tcPr>
            <w:tcW w:w="1365" w:type="dxa"/>
            <w:tcBorders>
              <w:top w:val="single" w:color="auto" w:sz="4" w:space="0"/>
              <w:left w:val="nil"/>
              <w:bottom w:val="single" w:color="auto" w:sz="4" w:space="0"/>
              <w:right w:val="single" w:color="auto" w:sz="4" w:space="0"/>
            </w:tcBorders>
            <w:noWrap/>
            <w:vAlign w:val="center"/>
          </w:tcPr>
          <w:p>
            <w:pPr>
              <w:snapToGrid w:val="0"/>
              <w:spacing w:line="36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数量</w:t>
            </w:r>
          </w:p>
        </w:tc>
      </w:tr>
      <w:tr>
        <w:tblPrEx>
          <w:tblCellMar>
            <w:top w:w="0" w:type="dxa"/>
            <w:left w:w="108" w:type="dxa"/>
            <w:bottom w:w="0" w:type="dxa"/>
            <w:right w:w="108" w:type="dxa"/>
          </w:tblCellMar>
        </w:tblPrEx>
        <w:trPr>
          <w:trHeight w:val="118" w:hRule="atLeast"/>
          <w:jc w:val="center"/>
        </w:trPr>
        <w:tc>
          <w:tcPr>
            <w:tcW w:w="1502"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kern w:val="0"/>
                <w:sz w:val="24"/>
                <w:szCs w:val="24"/>
                <w:highlight w:val="none"/>
                <w:lang w:val="en-US" w:eastAsia="zh-CN"/>
              </w:rPr>
              <w:t>17.8m巡护船</w:t>
            </w:r>
          </w:p>
        </w:tc>
        <w:tc>
          <w:tcPr>
            <w:tcW w:w="3607" w:type="dxa"/>
            <w:tcBorders>
              <w:top w:val="single" w:color="auto" w:sz="4" w:space="0"/>
              <w:left w:val="nil"/>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b/>
                <w:bCs/>
                <w:color w:val="auto"/>
                <w:sz w:val="24"/>
                <w:szCs w:val="24"/>
                <w:highlight w:val="none"/>
                <w:lang w:eastAsia="zh-CN"/>
              </w:rPr>
            </w:pPr>
            <w:r>
              <w:rPr>
                <w:rFonts w:hint="eastAsia" w:ascii="仿宋" w:hAnsi="仿宋" w:eastAsia="仿宋" w:cs="仿宋"/>
                <w:color w:val="auto"/>
                <w:sz w:val="24"/>
                <w:szCs w:val="24"/>
                <w:highlight w:val="none"/>
              </w:rPr>
              <w:t>最大船长</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18.51m</w:t>
            </w:r>
          </w:p>
        </w:tc>
        <w:tc>
          <w:tcPr>
            <w:tcW w:w="3608" w:type="dxa"/>
            <w:tcBorders>
              <w:top w:val="single" w:color="auto" w:sz="4" w:space="0"/>
              <w:left w:val="nil"/>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b/>
                <w:bCs/>
                <w:color w:val="auto"/>
                <w:sz w:val="24"/>
                <w:szCs w:val="24"/>
                <w:highlight w:val="none"/>
                <w:lang w:eastAsia="zh-CN"/>
              </w:rPr>
            </w:pPr>
            <w:r>
              <w:rPr>
                <w:rFonts w:hint="eastAsia" w:ascii="仿宋" w:hAnsi="仿宋" w:eastAsia="仿宋" w:cs="仿宋"/>
                <w:color w:val="auto"/>
                <w:sz w:val="24"/>
                <w:szCs w:val="24"/>
                <w:highlight w:val="none"/>
              </w:rPr>
              <w:t>总长</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17.80m</w:t>
            </w:r>
          </w:p>
        </w:tc>
        <w:tc>
          <w:tcPr>
            <w:tcW w:w="1365" w:type="dxa"/>
            <w:vMerge w:val="restart"/>
            <w:tcBorders>
              <w:top w:val="single" w:color="auto" w:sz="4" w:space="0"/>
              <w:left w:val="nil"/>
              <w:right w:val="single" w:color="auto" w:sz="4" w:space="0"/>
            </w:tcBorders>
            <w:noWrap/>
            <w:vAlign w:val="center"/>
          </w:tcPr>
          <w:p>
            <w:pPr>
              <w:snapToGrid w:val="0"/>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kern w:val="0"/>
                <w:sz w:val="24"/>
                <w:szCs w:val="24"/>
                <w:highlight w:val="none"/>
              </w:rPr>
              <w:t>1艘</w:t>
            </w:r>
          </w:p>
        </w:tc>
      </w:tr>
      <w:tr>
        <w:tblPrEx>
          <w:tblCellMar>
            <w:top w:w="0" w:type="dxa"/>
            <w:left w:w="108" w:type="dxa"/>
            <w:bottom w:w="0" w:type="dxa"/>
            <w:right w:w="108" w:type="dxa"/>
          </w:tblCellMar>
        </w:tblPrEx>
        <w:trPr>
          <w:trHeight w:val="118"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eastAsia" w:ascii="仿宋" w:hAnsi="仿宋" w:eastAsia="仿宋" w:cs="仿宋"/>
                <w:color w:val="auto"/>
                <w:sz w:val="24"/>
                <w:szCs w:val="24"/>
                <w:highlight w:val="none"/>
              </w:rPr>
            </w:pPr>
          </w:p>
        </w:tc>
        <w:tc>
          <w:tcPr>
            <w:tcW w:w="3607" w:type="dxa"/>
            <w:tcBorders>
              <w:top w:val="single" w:color="auto" w:sz="4" w:space="0"/>
              <w:left w:val="nil"/>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船长（水线长）</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16.84m</w:t>
            </w:r>
          </w:p>
        </w:tc>
        <w:tc>
          <w:tcPr>
            <w:tcW w:w="3608" w:type="dxa"/>
            <w:tcBorders>
              <w:top w:val="single" w:color="auto" w:sz="4" w:space="0"/>
              <w:left w:val="nil"/>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船宽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4.09m</w:t>
            </w:r>
          </w:p>
        </w:tc>
        <w:tc>
          <w:tcPr>
            <w:tcW w:w="1365" w:type="dxa"/>
            <w:vMerge w:val="continue"/>
            <w:tcBorders>
              <w:left w:val="nil"/>
              <w:right w:val="single" w:color="auto" w:sz="4" w:space="0"/>
            </w:tcBorders>
            <w:noWrap/>
            <w:vAlign w:val="center"/>
          </w:tcPr>
          <w:p>
            <w:pPr>
              <w:snapToGrid w:val="0"/>
              <w:spacing w:line="360" w:lineRule="auto"/>
              <w:jc w:val="center"/>
              <w:rPr>
                <w:rFonts w:hint="eastAsia" w:ascii="仿宋" w:hAnsi="仿宋" w:eastAsia="仿宋" w:cs="仿宋"/>
                <w:b/>
                <w:bCs/>
                <w:color w:val="auto"/>
                <w:sz w:val="24"/>
                <w:szCs w:val="24"/>
                <w:highlight w:val="none"/>
              </w:rPr>
            </w:pPr>
          </w:p>
        </w:tc>
      </w:tr>
      <w:tr>
        <w:tblPrEx>
          <w:tblCellMar>
            <w:top w:w="0" w:type="dxa"/>
            <w:left w:w="108" w:type="dxa"/>
            <w:bottom w:w="0" w:type="dxa"/>
            <w:right w:w="108" w:type="dxa"/>
          </w:tblCellMar>
        </w:tblPrEx>
        <w:trPr>
          <w:trHeight w:val="118"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eastAsia" w:ascii="仿宋" w:hAnsi="仿宋" w:eastAsia="仿宋" w:cs="仿宋"/>
                <w:b/>
                <w:bCs/>
                <w:color w:val="auto"/>
                <w:sz w:val="24"/>
                <w:szCs w:val="24"/>
                <w:highlight w:val="none"/>
              </w:rPr>
            </w:pPr>
          </w:p>
        </w:tc>
        <w:tc>
          <w:tcPr>
            <w:tcW w:w="3607" w:type="dxa"/>
            <w:tcBorders>
              <w:top w:val="single" w:color="auto" w:sz="4" w:space="0"/>
              <w:left w:val="nil"/>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总宽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4.19m</w:t>
            </w:r>
          </w:p>
        </w:tc>
        <w:tc>
          <w:tcPr>
            <w:tcW w:w="3608" w:type="dxa"/>
            <w:tcBorders>
              <w:top w:val="single" w:color="auto" w:sz="4" w:space="0"/>
              <w:left w:val="nil"/>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总高（至桅杆顶）</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4.75m</w:t>
            </w:r>
          </w:p>
        </w:tc>
        <w:tc>
          <w:tcPr>
            <w:tcW w:w="1365" w:type="dxa"/>
            <w:vMerge w:val="continue"/>
            <w:tcBorders>
              <w:left w:val="nil"/>
              <w:right w:val="single" w:color="auto" w:sz="4" w:space="0"/>
            </w:tcBorders>
            <w:noWrap/>
            <w:vAlign w:val="center"/>
          </w:tcPr>
          <w:p>
            <w:pPr>
              <w:snapToGrid w:val="0"/>
              <w:spacing w:line="360" w:lineRule="auto"/>
              <w:jc w:val="center"/>
              <w:rPr>
                <w:rFonts w:hint="eastAsia" w:ascii="仿宋" w:hAnsi="仿宋" w:eastAsia="仿宋" w:cs="仿宋"/>
                <w:b/>
                <w:bCs/>
                <w:color w:val="auto"/>
                <w:sz w:val="24"/>
                <w:szCs w:val="24"/>
                <w:highlight w:val="none"/>
              </w:rPr>
            </w:pPr>
          </w:p>
        </w:tc>
      </w:tr>
      <w:tr>
        <w:tblPrEx>
          <w:tblCellMar>
            <w:top w:w="0" w:type="dxa"/>
            <w:left w:w="108" w:type="dxa"/>
            <w:bottom w:w="0" w:type="dxa"/>
            <w:right w:w="108" w:type="dxa"/>
          </w:tblCellMar>
        </w:tblPrEx>
        <w:trPr>
          <w:trHeight w:val="118"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eastAsia" w:ascii="仿宋" w:hAnsi="仿宋" w:eastAsia="仿宋" w:cs="仿宋"/>
                <w:b/>
                <w:bCs/>
                <w:color w:val="auto"/>
                <w:sz w:val="24"/>
                <w:szCs w:val="24"/>
                <w:highlight w:val="none"/>
              </w:rPr>
            </w:pPr>
          </w:p>
        </w:tc>
        <w:tc>
          <w:tcPr>
            <w:tcW w:w="3607" w:type="dxa"/>
            <w:tcBorders>
              <w:top w:val="single" w:color="auto" w:sz="4" w:space="0"/>
              <w:left w:val="nil"/>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型深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1.50m</w:t>
            </w:r>
          </w:p>
        </w:tc>
        <w:tc>
          <w:tcPr>
            <w:tcW w:w="3608" w:type="dxa"/>
            <w:tcBorders>
              <w:top w:val="single" w:color="auto" w:sz="4" w:space="0"/>
              <w:left w:val="nil"/>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设计吃水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0.60m</w:t>
            </w:r>
          </w:p>
        </w:tc>
        <w:tc>
          <w:tcPr>
            <w:tcW w:w="1365" w:type="dxa"/>
            <w:vMerge w:val="continue"/>
            <w:tcBorders>
              <w:left w:val="nil"/>
              <w:right w:val="single" w:color="auto" w:sz="4" w:space="0"/>
            </w:tcBorders>
            <w:noWrap/>
            <w:vAlign w:val="center"/>
          </w:tcPr>
          <w:p>
            <w:pPr>
              <w:snapToGrid w:val="0"/>
              <w:spacing w:line="360" w:lineRule="auto"/>
              <w:jc w:val="center"/>
              <w:rPr>
                <w:rFonts w:hint="eastAsia" w:ascii="仿宋" w:hAnsi="仿宋" w:eastAsia="仿宋" w:cs="仿宋"/>
                <w:b/>
                <w:bCs/>
                <w:color w:val="auto"/>
                <w:sz w:val="24"/>
                <w:szCs w:val="24"/>
                <w:highlight w:val="none"/>
              </w:rPr>
            </w:pPr>
          </w:p>
        </w:tc>
      </w:tr>
      <w:tr>
        <w:tblPrEx>
          <w:tblCellMar>
            <w:top w:w="0" w:type="dxa"/>
            <w:left w:w="108" w:type="dxa"/>
            <w:bottom w:w="0" w:type="dxa"/>
            <w:right w:w="108" w:type="dxa"/>
          </w:tblCellMar>
        </w:tblPrEx>
        <w:trPr>
          <w:trHeight w:val="118"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eastAsia" w:ascii="仿宋" w:hAnsi="仿宋" w:eastAsia="仿宋" w:cs="仿宋"/>
                <w:b/>
                <w:bCs/>
                <w:color w:val="auto"/>
                <w:sz w:val="24"/>
                <w:szCs w:val="24"/>
                <w:highlight w:val="none"/>
              </w:rPr>
            </w:pPr>
          </w:p>
        </w:tc>
        <w:tc>
          <w:tcPr>
            <w:tcW w:w="3607" w:type="dxa"/>
            <w:tcBorders>
              <w:top w:val="single" w:color="auto" w:sz="4" w:space="0"/>
              <w:left w:val="nil"/>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满载排水量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18.42t</w:t>
            </w:r>
          </w:p>
        </w:tc>
        <w:tc>
          <w:tcPr>
            <w:tcW w:w="3608" w:type="dxa"/>
            <w:tcBorders>
              <w:top w:val="single" w:color="auto" w:sz="4" w:space="0"/>
              <w:left w:val="nil"/>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设计航速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km/h</w:t>
            </w:r>
          </w:p>
        </w:tc>
        <w:tc>
          <w:tcPr>
            <w:tcW w:w="1365" w:type="dxa"/>
            <w:vMerge w:val="continue"/>
            <w:tcBorders>
              <w:left w:val="nil"/>
              <w:right w:val="single" w:color="auto" w:sz="4" w:space="0"/>
            </w:tcBorders>
            <w:noWrap/>
            <w:vAlign w:val="center"/>
          </w:tcPr>
          <w:p>
            <w:pPr>
              <w:snapToGrid w:val="0"/>
              <w:spacing w:line="360" w:lineRule="auto"/>
              <w:jc w:val="center"/>
              <w:rPr>
                <w:rFonts w:hint="eastAsia" w:ascii="仿宋" w:hAnsi="仿宋" w:eastAsia="仿宋" w:cs="仿宋"/>
                <w:b/>
                <w:bCs/>
                <w:color w:val="auto"/>
                <w:sz w:val="24"/>
                <w:szCs w:val="24"/>
                <w:highlight w:val="none"/>
              </w:rPr>
            </w:pPr>
          </w:p>
        </w:tc>
      </w:tr>
      <w:tr>
        <w:tblPrEx>
          <w:tblCellMar>
            <w:top w:w="0" w:type="dxa"/>
            <w:left w:w="108" w:type="dxa"/>
            <w:bottom w:w="0" w:type="dxa"/>
            <w:right w:w="108" w:type="dxa"/>
          </w:tblCellMar>
        </w:tblPrEx>
        <w:trPr>
          <w:trHeight w:val="300"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eastAsia" w:ascii="仿宋" w:hAnsi="仿宋" w:eastAsia="仿宋" w:cs="仿宋"/>
                <w:b/>
                <w:bCs/>
                <w:color w:val="auto"/>
                <w:sz w:val="24"/>
                <w:szCs w:val="24"/>
                <w:highlight w:val="none"/>
              </w:rPr>
            </w:pPr>
          </w:p>
        </w:tc>
        <w:tc>
          <w:tcPr>
            <w:tcW w:w="3607" w:type="dxa"/>
            <w:tcBorders>
              <w:top w:val="single" w:color="auto" w:sz="4" w:space="0"/>
              <w:left w:val="nil"/>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航区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 内河 B 级</w:t>
            </w:r>
          </w:p>
        </w:tc>
        <w:tc>
          <w:tcPr>
            <w:tcW w:w="3608" w:type="dxa"/>
            <w:tcBorders>
              <w:top w:val="single" w:color="auto" w:sz="4" w:space="0"/>
              <w:left w:val="nil"/>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p>
        </w:tc>
        <w:tc>
          <w:tcPr>
            <w:tcW w:w="1365" w:type="dxa"/>
            <w:vMerge w:val="continue"/>
            <w:tcBorders>
              <w:left w:val="nil"/>
              <w:bottom w:val="single" w:color="auto" w:sz="4" w:space="0"/>
              <w:right w:val="single" w:color="auto" w:sz="4" w:space="0"/>
            </w:tcBorders>
            <w:noWrap/>
            <w:vAlign w:val="center"/>
          </w:tcPr>
          <w:p>
            <w:pPr>
              <w:snapToGrid w:val="0"/>
              <w:spacing w:line="360" w:lineRule="auto"/>
              <w:jc w:val="center"/>
              <w:rPr>
                <w:rFonts w:hint="eastAsia" w:ascii="仿宋" w:hAnsi="仿宋" w:eastAsia="仿宋" w:cs="仿宋"/>
                <w:b/>
                <w:bCs/>
                <w:color w:val="auto"/>
                <w:sz w:val="24"/>
                <w:szCs w:val="24"/>
                <w:highlight w:val="none"/>
              </w:rPr>
            </w:pPr>
          </w:p>
        </w:tc>
      </w:tr>
      <w:tr>
        <w:tblPrEx>
          <w:tblCellMar>
            <w:top w:w="0" w:type="dxa"/>
            <w:left w:w="108" w:type="dxa"/>
            <w:bottom w:w="0" w:type="dxa"/>
            <w:right w:w="108" w:type="dxa"/>
          </w:tblCellMar>
        </w:tblPrEx>
        <w:trPr>
          <w:trHeight w:val="476" w:hRule="atLeast"/>
          <w:jc w:val="center"/>
        </w:trPr>
        <w:tc>
          <w:tcPr>
            <w:tcW w:w="1502"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仿宋" w:hAnsi="仿宋" w:eastAsia="仿宋" w:cs="仿宋"/>
                <w:color w:val="auto"/>
                <w:kern w:val="0"/>
                <w:sz w:val="24"/>
                <w:szCs w:val="24"/>
                <w:highlight w:val="none"/>
                <w:lang w:val="en-US"/>
              </w:rPr>
            </w:pPr>
            <w:r>
              <w:rPr>
                <w:rFonts w:hint="eastAsia" w:ascii="仿宋" w:hAnsi="仿宋" w:eastAsia="仿宋" w:cs="仿宋"/>
                <w:color w:val="auto"/>
                <w:kern w:val="0"/>
                <w:sz w:val="24"/>
                <w:szCs w:val="24"/>
                <w:highlight w:val="none"/>
                <w:lang w:val="en-US" w:eastAsia="zh-CN"/>
              </w:rPr>
              <w:t>10.56m巡护艇</w:t>
            </w:r>
          </w:p>
        </w:tc>
        <w:tc>
          <w:tcPr>
            <w:tcW w:w="36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最大船长</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10.63m         </w:t>
            </w:r>
            <w:r>
              <w:rPr>
                <w:rFonts w:hint="eastAsia" w:ascii="仿宋" w:hAnsi="仿宋" w:eastAsia="仿宋" w:cs="仿宋"/>
                <w:color w:val="auto"/>
                <w:sz w:val="24"/>
                <w:szCs w:val="24"/>
                <w:highlight w:val="none"/>
                <w:lang w:val="en-US" w:eastAsia="zh-CN"/>
              </w:rPr>
              <w:t xml:space="preserve">            </w:t>
            </w:r>
          </w:p>
        </w:tc>
        <w:tc>
          <w:tcPr>
            <w:tcW w:w="3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总长</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10.56m</w:t>
            </w:r>
          </w:p>
        </w:tc>
        <w:tc>
          <w:tcPr>
            <w:tcW w:w="1365" w:type="dxa"/>
            <w:vMerge w:val="restart"/>
            <w:tcBorders>
              <w:top w:val="single" w:color="auto" w:sz="4" w:space="0"/>
              <w:left w:val="single" w:color="auto" w:sz="4" w:space="0"/>
              <w:right w:val="single" w:color="auto" w:sz="4" w:space="0"/>
            </w:tcBorders>
            <w:noWrap/>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1艘</w:t>
            </w:r>
          </w:p>
        </w:tc>
      </w:tr>
      <w:tr>
        <w:tblPrEx>
          <w:tblCellMar>
            <w:top w:w="0" w:type="dxa"/>
            <w:left w:w="108" w:type="dxa"/>
            <w:bottom w:w="0" w:type="dxa"/>
            <w:right w:w="108" w:type="dxa"/>
          </w:tblCellMar>
        </w:tblPrEx>
        <w:trPr>
          <w:trHeight w:val="377"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bidi w:val="0"/>
              <w:spacing w:line="360" w:lineRule="auto"/>
              <w:rPr>
                <w:rFonts w:hint="eastAsia" w:ascii="仿宋" w:hAnsi="仿宋" w:eastAsia="仿宋" w:cs="仿宋"/>
                <w:color w:val="auto"/>
                <w:sz w:val="24"/>
                <w:szCs w:val="24"/>
                <w:highlight w:val="none"/>
              </w:rPr>
            </w:pPr>
          </w:p>
        </w:tc>
        <w:tc>
          <w:tcPr>
            <w:tcW w:w="36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船长（水线长）</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9.70m</w:t>
            </w:r>
          </w:p>
        </w:tc>
        <w:tc>
          <w:tcPr>
            <w:tcW w:w="3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船宽</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2.90m</w:t>
            </w:r>
            <w:r>
              <w:rPr>
                <w:rFonts w:hint="eastAsia" w:ascii="仿宋" w:hAnsi="仿宋" w:eastAsia="仿宋" w:cs="仿宋"/>
                <w:color w:val="auto"/>
                <w:sz w:val="24"/>
                <w:szCs w:val="24"/>
                <w:highlight w:val="none"/>
                <w:lang w:val="en-US" w:eastAsia="zh-CN"/>
              </w:rPr>
              <w:t xml:space="preserve"> </w:t>
            </w:r>
          </w:p>
        </w:tc>
        <w:tc>
          <w:tcPr>
            <w:tcW w:w="1365" w:type="dxa"/>
            <w:vMerge w:val="continue"/>
            <w:tcBorders>
              <w:left w:val="single" w:color="auto" w:sz="4" w:space="0"/>
              <w:right w:val="single" w:color="auto" w:sz="4" w:space="0"/>
            </w:tcBorders>
            <w:noWrap/>
            <w:vAlign w:val="center"/>
          </w:tcPr>
          <w:p>
            <w:pPr>
              <w:bidi w:val="0"/>
              <w:spacing w:line="360" w:lineRule="auto"/>
              <w:jc w:val="center"/>
              <w:rPr>
                <w:rFonts w:hint="eastAsia" w:ascii="仿宋" w:hAnsi="仿宋" w:eastAsia="仿宋" w:cs="仿宋"/>
                <w:color w:val="auto"/>
                <w:kern w:val="0"/>
                <w:sz w:val="24"/>
                <w:szCs w:val="24"/>
                <w:highlight w:val="none"/>
                <w:lang w:val="en-US" w:eastAsia="zh-CN"/>
              </w:rPr>
            </w:pPr>
          </w:p>
        </w:tc>
      </w:tr>
      <w:tr>
        <w:tblPrEx>
          <w:tblCellMar>
            <w:top w:w="0" w:type="dxa"/>
            <w:left w:w="108" w:type="dxa"/>
            <w:bottom w:w="0" w:type="dxa"/>
            <w:right w:w="108" w:type="dxa"/>
          </w:tblCellMar>
        </w:tblPrEx>
        <w:trPr>
          <w:trHeight w:val="377"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bidi w:val="0"/>
              <w:spacing w:line="360" w:lineRule="auto"/>
              <w:rPr>
                <w:rFonts w:hint="eastAsia" w:ascii="仿宋" w:hAnsi="仿宋" w:eastAsia="仿宋" w:cs="仿宋"/>
                <w:color w:val="auto"/>
                <w:kern w:val="0"/>
                <w:sz w:val="24"/>
                <w:szCs w:val="24"/>
                <w:highlight w:val="none"/>
                <w:lang w:val="en-US" w:eastAsia="zh-CN"/>
              </w:rPr>
            </w:pPr>
          </w:p>
        </w:tc>
        <w:tc>
          <w:tcPr>
            <w:tcW w:w="36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总宽</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2.97m</w:t>
            </w:r>
          </w:p>
        </w:tc>
        <w:tc>
          <w:tcPr>
            <w:tcW w:w="3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总高（至桅杆顶）</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 xml:space="preserve"> 4.23m</w:t>
            </w:r>
          </w:p>
        </w:tc>
        <w:tc>
          <w:tcPr>
            <w:tcW w:w="1365" w:type="dxa"/>
            <w:vMerge w:val="continue"/>
            <w:tcBorders>
              <w:left w:val="single" w:color="auto" w:sz="4" w:space="0"/>
              <w:right w:val="single" w:color="auto" w:sz="4" w:space="0"/>
            </w:tcBorders>
            <w:noWrap/>
            <w:vAlign w:val="center"/>
          </w:tcPr>
          <w:p>
            <w:pPr>
              <w:bidi w:val="0"/>
              <w:spacing w:line="360" w:lineRule="auto"/>
              <w:jc w:val="center"/>
              <w:rPr>
                <w:rFonts w:hint="eastAsia" w:ascii="仿宋" w:hAnsi="仿宋" w:eastAsia="仿宋" w:cs="仿宋"/>
                <w:color w:val="auto"/>
                <w:kern w:val="0"/>
                <w:sz w:val="24"/>
                <w:szCs w:val="24"/>
                <w:highlight w:val="none"/>
                <w:lang w:val="en-US" w:eastAsia="zh-CN"/>
              </w:rPr>
            </w:pPr>
          </w:p>
        </w:tc>
      </w:tr>
      <w:tr>
        <w:tblPrEx>
          <w:tblCellMar>
            <w:top w:w="0" w:type="dxa"/>
            <w:left w:w="108" w:type="dxa"/>
            <w:bottom w:w="0" w:type="dxa"/>
            <w:right w:w="108" w:type="dxa"/>
          </w:tblCellMar>
        </w:tblPrEx>
        <w:trPr>
          <w:trHeight w:val="377"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bidi w:val="0"/>
              <w:spacing w:line="360" w:lineRule="auto"/>
              <w:rPr>
                <w:rFonts w:hint="eastAsia" w:ascii="仿宋" w:hAnsi="仿宋" w:eastAsia="仿宋" w:cs="仿宋"/>
                <w:color w:val="auto"/>
                <w:kern w:val="0"/>
                <w:sz w:val="24"/>
                <w:szCs w:val="24"/>
                <w:highlight w:val="none"/>
                <w:lang w:val="en-US" w:eastAsia="zh-CN"/>
              </w:rPr>
            </w:pPr>
          </w:p>
        </w:tc>
        <w:tc>
          <w:tcPr>
            <w:tcW w:w="36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型深</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 xml:space="preserve"> 1.25m</w:t>
            </w:r>
          </w:p>
        </w:tc>
        <w:tc>
          <w:tcPr>
            <w:tcW w:w="3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设计吃水</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0.50m</w:t>
            </w:r>
          </w:p>
        </w:tc>
        <w:tc>
          <w:tcPr>
            <w:tcW w:w="1365" w:type="dxa"/>
            <w:vMerge w:val="continue"/>
            <w:tcBorders>
              <w:left w:val="single" w:color="auto" w:sz="4" w:space="0"/>
              <w:right w:val="single" w:color="auto" w:sz="4" w:space="0"/>
            </w:tcBorders>
            <w:noWrap/>
            <w:vAlign w:val="center"/>
          </w:tcPr>
          <w:p>
            <w:pPr>
              <w:bidi w:val="0"/>
              <w:spacing w:line="360" w:lineRule="auto"/>
              <w:jc w:val="center"/>
              <w:rPr>
                <w:rFonts w:hint="eastAsia" w:ascii="仿宋" w:hAnsi="仿宋" w:eastAsia="仿宋" w:cs="仿宋"/>
                <w:color w:val="auto"/>
                <w:kern w:val="0"/>
                <w:sz w:val="24"/>
                <w:szCs w:val="24"/>
                <w:highlight w:val="none"/>
                <w:lang w:val="en-US" w:eastAsia="zh-CN"/>
              </w:rPr>
            </w:pPr>
          </w:p>
        </w:tc>
      </w:tr>
      <w:tr>
        <w:tblPrEx>
          <w:tblCellMar>
            <w:top w:w="0" w:type="dxa"/>
            <w:left w:w="108" w:type="dxa"/>
            <w:bottom w:w="0" w:type="dxa"/>
            <w:right w:w="108" w:type="dxa"/>
          </w:tblCellMar>
        </w:tblPrEx>
        <w:trPr>
          <w:trHeight w:val="377"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bidi w:val="0"/>
              <w:spacing w:line="360" w:lineRule="auto"/>
              <w:rPr>
                <w:rFonts w:hint="eastAsia" w:ascii="仿宋" w:hAnsi="仿宋" w:eastAsia="仿宋" w:cs="仿宋"/>
                <w:color w:val="auto"/>
                <w:kern w:val="0"/>
                <w:sz w:val="24"/>
                <w:szCs w:val="24"/>
                <w:highlight w:val="none"/>
                <w:lang w:val="en-US" w:eastAsia="zh-CN"/>
              </w:rPr>
            </w:pPr>
          </w:p>
        </w:tc>
        <w:tc>
          <w:tcPr>
            <w:tcW w:w="36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满载排水量</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6.91t</w:t>
            </w:r>
          </w:p>
        </w:tc>
        <w:tc>
          <w:tcPr>
            <w:tcW w:w="3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设计航速</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65km/h</w:t>
            </w:r>
          </w:p>
        </w:tc>
        <w:tc>
          <w:tcPr>
            <w:tcW w:w="1365" w:type="dxa"/>
            <w:vMerge w:val="continue"/>
            <w:tcBorders>
              <w:left w:val="single" w:color="auto" w:sz="4" w:space="0"/>
              <w:right w:val="single" w:color="auto" w:sz="4" w:space="0"/>
            </w:tcBorders>
            <w:noWrap/>
            <w:vAlign w:val="center"/>
          </w:tcPr>
          <w:p>
            <w:pPr>
              <w:bidi w:val="0"/>
              <w:spacing w:line="360" w:lineRule="auto"/>
              <w:jc w:val="center"/>
              <w:rPr>
                <w:rFonts w:hint="eastAsia" w:ascii="仿宋" w:hAnsi="仿宋" w:eastAsia="仿宋" w:cs="仿宋"/>
                <w:color w:val="auto"/>
                <w:kern w:val="0"/>
                <w:sz w:val="24"/>
                <w:szCs w:val="24"/>
                <w:highlight w:val="none"/>
                <w:lang w:val="en-US" w:eastAsia="zh-CN"/>
              </w:rPr>
            </w:pPr>
          </w:p>
        </w:tc>
      </w:tr>
      <w:tr>
        <w:tblPrEx>
          <w:tblCellMar>
            <w:top w:w="0" w:type="dxa"/>
            <w:left w:w="108" w:type="dxa"/>
            <w:bottom w:w="0" w:type="dxa"/>
            <w:right w:w="108" w:type="dxa"/>
          </w:tblCellMar>
        </w:tblPrEx>
        <w:trPr>
          <w:trHeight w:val="377"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bidi w:val="0"/>
              <w:spacing w:line="360" w:lineRule="auto"/>
              <w:rPr>
                <w:rFonts w:hint="eastAsia" w:ascii="仿宋" w:hAnsi="仿宋" w:eastAsia="仿宋" w:cs="仿宋"/>
                <w:color w:val="auto"/>
                <w:kern w:val="0"/>
                <w:sz w:val="24"/>
                <w:szCs w:val="24"/>
                <w:highlight w:val="none"/>
                <w:lang w:val="en-US" w:eastAsia="zh-CN"/>
              </w:rPr>
            </w:pPr>
          </w:p>
        </w:tc>
        <w:tc>
          <w:tcPr>
            <w:tcW w:w="36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航区</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内河 B 级</w:t>
            </w:r>
          </w:p>
        </w:tc>
        <w:tc>
          <w:tcPr>
            <w:tcW w:w="3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p>
        </w:tc>
        <w:tc>
          <w:tcPr>
            <w:tcW w:w="1365" w:type="dxa"/>
            <w:vMerge w:val="continue"/>
            <w:tcBorders>
              <w:left w:val="single" w:color="auto" w:sz="4" w:space="0"/>
              <w:bottom w:val="single" w:color="auto" w:sz="4" w:space="0"/>
              <w:right w:val="single" w:color="auto" w:sz="4" w:space="0"/>
            </w:tcBorders>
            <w:noWrap/>
            <w:vAlign w:val="center"/>
          </w:tcPr>
          <w:p>
            <w:pPr>
              <w:bidi w:val="0"/>
              <w:spacing w:line="360" w:lineRule="auto"/>
              <w:jc w:val="center"/>
              <w:rPr>
                <w:rFonts w:hint="eastAsia" w:ascii="仿宋" w:hAnsi="仿宋" w:eastAsia="仿宋" w:cs="仿宋"/>
                <w:color w:val="auto"/>
                <w:kern w:val="0"/>
                <w:sz w:val="24"/>
                <w:szCs w:val="24"/>
                <w:highlight w:val="none"/>
                <w:lang w:val="en-US" w:eastAsia="zh-CN"/>
              </w:rPr>
            </w:pPr>
          </w:p>
        </w:tc>
      </w:tr>
      <w:tr>
        <w:tblPrEx>
          <w:tblCellMar>
            <w:top w:w="0" w:type="dxa"/>
            <w:left w:w="108" w:type="dxa"/>
            <w:bottom w:w="0" w:type="dxa"/>
            <w:right w:w="108" w:type="dxa"/>
          </w:tblCellMar>
        </w:tblPrEx>
        <w:trPr>
          <w:trHeight w:val="68" w:hRule="atLeast"/>
          <w:jc w:val="center"/>
        </w:trPr>
        <w:tc>
          <w:tcPr>
            <w:tcW w:w="1502" w:type="dxa"/>
            <w:vMerge w:val="restart"/>
            <w:tcBorders>
              <w:top w:val="single" w:color="auto" w:sz="4" w:space="0"/>
              <w:left w:val="single" w:color="auto" w:sz="4" w:space="0"/>
              <w:bottom w:val="single" w:color="auto" w:sz="4" w:space="0"/>
              <w:right w:val="single" w:color="auto" w:sz="4" w:space="0"/>
            </w:tcBorders>
            <w:noWrap/>
            <w:vAlign w:val="center"/>
          </w:tcPr>
          <w:p>
            <w:pPr>
              <w:bidi w:val="0"/>
              <w:spacing w:line="360" w:lineRule="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7.68m巡护艇</w:t>
            </w:r>
          </w:p>
        </w:tc>
        <w:tc>
          <w:tcPr>
            <w:tcW w:w="36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最大船长</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8.52m</w:t>
            </w:r>
          </w:p>
        </w:tc>
        <w:tc>
          <w:tcPr>
            <w:tcW w:w="3608"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总长</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7.</w:t>
            </w:r>
            <w:r>
              <w:rPr>
                <w:rFonts w:hint="eastAsia" w:ascii="仿宋" w:hAnsi="仿宋" w:eastAsia="仿宋" w:cs="仿宋"/>
                <w:color w:val="auto"/>
                <w:sz w:val="24"/>
                <w:szCs w:val="24"/>
                <w:highlight w:val="none"/>
                <w:lang w:val="en-US" w:eastAsia="zh-CN"/>
              </w:rPr>
              <w:t>68</w:t>
            </w:r>
            <w:r>
              <w:rPr>
                <w:rFonts w:hint="eastAsia" w:ascii="仿宋" w:hAnsi="仿宋" w:eastAsia="仿宋" w:cs="仿宋"/>
                <w:color w:val="auto"/>
                <w:sz w:val="24"/>
                <w:szCs w:val="24"/>
                <w:highlight w:val="none"/>
              </w:rPr>
              <w:t>m</w:t>
            </w:r>
          </w:p>
        </w:tc>
        <w:tc>
          <w:tcPr>
            <w:tcW w:w="1365" w:type="dxa"/>
            <w:vMerge w:val="restart"/>
            <w:tcBorders>
              <w:left w:val="single" w:color="auto" w:sz="4" w:space="0"/>
              <w:right w:val="single" w:color="auto" w:sz="4" w:space="0"/>
            </w:tcBorders>
            <w:noWrap/>
            <w:vAlign w:val="center"/>
          </w:tcPr>
          <w:p>
            <w:pPr>
              <w:bidi w:val="0"/>
              <w:spacing w:line="360" w:lineRule="auto"/>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7艘</w:t>
            </w:r>
          </w:p>
        </w:tc>
      </w:tr>
      <w:tr>
        <w:tblPrEx>
          <w:tblCellMar>
            <w:top w:w="0" w:type="dxa"/>
            <w:left w:w="108" w:type="dxa"/>
            <w:bottom w:w="0" w:type="dxa"/>
            <w:right w:w="108" w:type="dxa"/>
          </w:tblCellMar>
        </w:tblPrEx>
        <w:trPr>
          <w:trHeight w:val="68"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p>
        </w:tc>
        <w:tc>
          <w:tcPr>
            <w:tcW w:w="36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船长（水线长）</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7.32m</w:t>
            </w:r>
          </w:p>
        </w:tc>
        <w:tc>
          <w:tcPr>
            <w:tcW w:w="3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船宽</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2.20m</w:t>
            </w:r>
          </w:p>
        </w:tc>
        <w:tc>
          <w:tcPr>
            <w:tcW w:w="1365" w:type="dxa"/>
            <w:vMerge w:val="continue"/>
            <w:tcBorders>
              <w:left w:val="single" w:color="auto" w:sz="4" w:space="0"/>
              <w:right w:val="single" w:color="auto" w:sz="4" w:space="0"/>
            </w:tcBorders>
            <w:noWrap/>
            <w:vAlign w:val="center"/>
          </w:tcPr>
          <w:p>
            <w:pPr>
              <w:snapToGrid w:val="0"/>
              <w:spacing w:line="360" w:lineRule="auto"/>
              <w:jc w:val="center"/>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68"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p>
        </w:tc>
        <w:tc>
          <w:tcPr>
            <w:tcW w:w="36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总宽</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2.26m</w:t>
            </w:r>
          </w:p>
        </w:tc>
        <w:tc>
          <w:tcPr>
            <w:tcW w:w="3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总高（至桅杆顶）</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3.35m</w:t>
            </w:r>
          </w:p>
        </w:tc>
        <w:tc>
          <w:tcPr>
            <w:tcW w:w="1365" w:type="dxa"/>
            <w:vMerge w:val="continue"/>
            <w:tcBorders>
              <w:left w:val="single" w:color="auto" w:sz="4" w:space="0"/>
              <w:right w:val="single" w:color="auto" w:sz="4" w:space="0"/>
            </w:tcBorders>
            <w:noWrap/>
            <w:vAlign w:val="center"/>
          </w:tcPr>
          <w:p>
            <w:pPr>
              <w:snapToGrid w:val="0"/>
              <w:spacing w:line="360" w:lineRule="auto"/>
              <w:jc w:val="center"/>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68"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p>
        </w:tc>
        <w:tc>
          <w:tcPr>
            <w:tcW w:w="36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型深</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1.00m</w:t>
            </w:r>
          </w:p>
        </w:tc>
        <w:tc>
          <w:tcPr>
            <w:tcW w:w="3608"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设计吃水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0.42m</w:t>
            </w:r>
          </w:p>
        </w:tc>
        <w:tc>
          <w:tcPr>
            <w:tcW w:w="1365" w:type="dxa"/>
            <w:vMerge w:val="continue"/>
            <w:tcBorders>
              <w:left w:val="single" w:color="auto" w:sz="4" w:space="0"/>
              <w:right w:val="single" w:color="auto" w:sz="4" w:space="0"/>
            </w:tcBorders>
            <w:noWrap/>
            <w:vAlign w:val="center"/>
          </w:tcPr>
          <w:p>
            <w:pPr>
              <w:snapToGrid w:val="0"/>
              <w:spacing w:line="360" w:lineRule="auto"/>
              <w:jc w:val="center"/>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68"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p>
        </w:tc>
        <w:tc>
          <w:tcPr>
            <w:tcW w:w="36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满载排水量</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3.61t</w:t>
            </w:r>
          </w:p>
        </w:tc>
        <w:tc>
          <w:tcPr>
            <w:tcW w:w="3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最大设计航速</w:t>
            </w:r>
            <w:r>
              <w:rPr>
                <w:rFonts w:hint="eastAsia" w:ascii="仿宋" w:hAnsi="仿宋" w:eastAsia="仿宋" w:cs="仿宋"/>
                <w:color w:val="auto"/>
                <w:sz w:val="24"/>
                <w:szCs w:val="24"/>
                <w:highlight w:val="none"/>
                <w:lang w:val="en-US" w:eastAsia="zh-CN"/>
              </w:rPr>
              <w:t xml:space="preserve"> : 55</w:t>
            </w:r>
            <w:r>
              <w:rPr>
                <w:rFonts w:hint="eastAsia" w:ascii="仿宋" w:hAnsi="仿宋" w:eastAsia="仿宋" w:cs="仿宋"/>
                <w:color w:val="auto"/>
                <w:sz w:val="24"/>
                <w:szCs w:val="24"/>
                <w:highlight w:val="none"/>
              </w:rPr>
              <w:t>km/h</w:t>
            </w:r>
          </w:p>
        </w:tc>
        <w:tc>
          <w:tcPr>
            <w:tcW w:w="1365" w:type="dxa"/>
            <w:vMerge w:val="continue"/>
            <w:tcBorders>
              <w:left w:val="single" w:color="auto" w:sz="4" w:space="0"/>
              <w:right w:val="single" w:color="auto" w:sz="4" w:space="0"/>
            </w:tcBorders>
            <w:noWrap/>
            <w:vAlign w:val="center"/>
          </w:tcPr>
          <w:p>
            <w:pPr>
              <w:snapToGrid w:val="0"/>
              <w:spacing w:line="360" w:lineRule="auto"/>
              <w:jc w:val="center"/>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68"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p>
        </w:tc>
        <w:tc>
          <w:tcPr>
            <w:tcW w:w="36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航区</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内河 B 级</w:t>
            </w:r>
          </w:p>
        </w:tc>
        <w:tc>
          <w:tcPr>
            <w:tcW w:w="3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p>
        </w:tc>
        <w:tc>
          <w:tcPr>
            <w:tcW w:w="1365" w:type="dxa"/>
            <w:vMerge w:val="continue"/>
            <w:tcBorders>
              <w:left w:val="single" w:color="auto" w:sz="4" w:space="0"/>
              <w:bottom w:val="single" w:color="auto" w:sz="4" w:space="0"/>
              <w:right w:val="single" w:color="auto" w:sz="4" w:space="0"/>
            </w:tcBorders>
            <w:noWrap/>
            <w:vAlign w:val="center"/>
          </w:tcPr>
          <w:p>
            <w:pPr>
              <w:snapToGrid w:val="0"/>
              <w:spacing w:line="360" w:lineRule="auto"/>
              <w:jc w:val="center"/>
              <w:rPr>
                <w:rFonts w:hint="eastAsia" w:ascii="仿宋" w:hAnsi="仿宋" w:eastAsia="仿宋" w:cs="仿宋"/>
                <w:color w:val="auto"/>
                <w:sz w:val="24"/>
                <w:szCs w:val="24"/>
                <w:highlight w:val="none"/>
              </w:rPr>
            </w:pPr>
          </w:p>
        </w:tc>
      </w:tr>
    </w:tbl>
    <w:p>
      <w:pPr>
        <w:spacing w:line="360" w:lineRule="auto"/>
        <w:ind w:left="-180"/>
        <w:jc w:val="left"/>
        <w:outlineLvl w:val="2"/>
        <w:rPr>
          <w:rFonts w:hint="eastAsia" w:ascii="仿宋" w:hAnsi="仿宋" w:eastAsia="仿宋" w:cs="仿宋"/>
          <w:b/>
          <w:bCs/>
          <w:color w:val="auto"/>
          <w:kern w:val="0"/>
          <w:sz w:val="24"/>
          <w:szCs w:val="24"/>
          <w:highlight w:val="none"/>
          <w:lang w:val="en-US" w:eastAsia="zh-CN"/>
        </w:rPr>
      </w:pPr>
    </w:p>
    <w:p>
      <w:pPr>
        <w:spacing w:line="520" w:lineRule="exact"/>
        <w:ind w:firstLine="281" w:firstLineChars="100"/>
        <w:rPr>
          <w:rStyle w:val="327"/>
          <w:rFonts w:hint="eastAsia" w:ascii="仿宋" w:hAnsi="仿宋" w:eastAsia="仿宋" w:cs="仿宋"/>
          <w:color w:val="auto"/>
          <w:highlight w:val="none"/>
          <w:lang w:val="en-US" w:eastAsia="zh-CN"/>
        </w:rPr>
      </w:pPr>
      <w:r>
        <w:rPr>
          <w:rStyle w:val="327"/>
          <w:rFonts w:hint="eastAsia" w:ascii="仿宋" w:hAnsi="仿宋" w:eastAsia="仿宋" w:cs="仿宋"/>
          <w:color w:val="auto"/>
          <w:highlight w:val="none"/>
          <w:lang w:val="en-US" w:eastAsia="zh-CN"/>
        </w:rPr>
        <w:t>二、技术要求及参数</w:t>
      </w:r>
    </w:p>
    <w:p>
      <w:pPr>
        <w:rPr>
          <w:rStyle w:val="355"/>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（一）17.8m巡护船</w:t>
      </w:r>
      <w:r>
        <w:rPr>
          <w:rFonts w:hint="eastAsia" w:ascii="仿宋" w:hAnsi="仿宋" w:eastAsia="仿宋" w:cs="仿宋"/>
          <w:b/>
          <w:bCs/>
          <w:color w:val="auto"/>
          <w:sz w:val="24"/>
          <w:szCs w:val="24"/>
          <w:highlight w:val="none"/>
        </w:rPr>
        <w:t>技术需求</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1、概述</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1 船型、航区及用途</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本船为单底、单甲板，单机单桨，舷内外柴油机动力驱动的尖舭玻璃钢船舶，船体及上层建筑均采用玻璃纤维增强塑料制造。</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本船限制在水流速度小于等于 3.0m/s， 蒲氏风级 5 级以下及具有设置岸上生活污水接收设施的水域内航行。</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 设计准则</w:t>
      </w:r>
    </w:p>
    <w:p>
      <w:pPr>
        <w:bidi w:val="0"/>
        <w:spacing w:line="360" w:lineRule="auto"/>
        <w:ind w:firstLine="480" w:firstLineChars="200"/>
        <w:rPr>
          <w:rStyle w:val="355"/>
          <w:rFonts w:hint="eastAsia" w:ascii="仿宋" w:hAnsi="仿宋" w:eastAsia="仿宋" w:cs="仿宋"/>
          <w:color w:val="auto"/>
          <w:sz w:val="36"/>
          <w:szCs w:val="36"/>
          <w:highlight w:val="none"/>
        </w:rPr>
      </w:pPr>
      <w:r>
        <w:rPr>
          <w:rFonts w:hint="eastAsia" w:ascii="仿宋" w:hAnsi="仿宋" w:eastAsia="仿宋" w:cs="仿宋"/>
          <w:color w:val="auto"/>
          <w:sz w:val="24"/>
          <w:szCs w:val="24"/>
          <w:highlight w:val="none"/>
        </w:rPr>
        <w:t>本船设计准则为中华人民共和国海事局（MSA）《内河小型船舶检验技术规则》（2016） 及2019年修改通报；中国船级社（CCS）《内河小型船舶建造规范》(2022)；中华人民共和国海事局（MSA）《吨位丈量规则》（2022）</w:t>
      </w:r>
      <w:r>
        <w:rPr>
          <w:rFonts w:hint="eastAsia" w:ascii="仿宋" w:hAnsi="仿宋" w:eastAsia="仿宋" w:cs="仿宋"/>
          <w:color w:val="auto"/>
          <w:sz w:val="24"/>
          <w:szCs w:val="24"/>
          <w:highlight w:val="none"/>
          <w:lang w:eastAsia="zh-CN"/>
        </w:rPr>
        <w:t>。</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 xml:space="preserve"> 定员</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本船额定乘客 </w:t>
      </w:r>
      <w:r>
        <w:rPr>
          <w:rFonts w:hint="eastAsia" w:ascii="仿宋" w:hAnsi="仿宋" w:eastAsia="仿宋" w:cs="仿宋"/>
          <w:color w:val="auto"/>
          <w:sz w:val="24"/>
          <w:szCs w:val="24"/>
          <w:highlight w:val="none"/>
          <w:lang w:val="en-US" w:eastAsia="zh-CN"/>
        </w:rPr>
        <w:t>28</w:t>
      </w:r>
      <w:r>
        <w:rPr>
          <w:rFonts w:hint="eastAsia" w:ascii="仿宋" w:hAnsi="仿宋" w:eastAsia="仿宋" w:cs="仿宋"/>
          <w:color w:val="auto"/>
          <w:sz w:val="24"/>
          <w:szCs w:val="24"/>
          <w:highlight w:val="none"/>
        </w:rPr>
        <w:t xml:space="preserve"> 人，船员</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人。</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 xml:space="preserve"> 稳性及不沉性</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本船完整稳性满足中华人民共和国海事局（MSA）《内河小型船舶检验技术规则》 （2016）及 2019 年修改通报对内河 B 级航行船舶的要求</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参照中华人民共和国海事局 （MSA）《内河船舶法定检验技术规则》（2019）对客船的要求进行校核</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本船破损稳性满足中华人民共和国海事局（MSA）《内河小型船舶检验技术规则》 （2016）及 2019 年修改通报对内河 B 级航行船舶的要求(参照中华人民共和国海事局 （MSA）《内河船舶法定检验技术规则》（2019）对客船的要求进行校核)。</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 xml:space="preserve"> 干舷</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本船干舷满足中华人民共和国海事局（MSA）《内河小型船舶检验技术规则》（2016）及 2019 年修改通报对内河 B 级航行船舶的要求。</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吨位</w:t>
      </w:r>
    </w:p>
    <w:p>
      <w:pPr>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本船吨位按中华人民共和国海事局（MSA）《吨位丈量规则》（2022）的要求计算</w:t>
      </w:r>
      <w:r>
        <w:rPr>
          <w:rFonts w:hint="eastAsia" w:ascii="仿宋" w:hAnsi="仿宋" w:eastAsia="仿宋" w:cs="仿宋"/>
          <w:color w:val="auto"/>
          <w:sz w:val="24"/>
          <w:szCs w:val="24"/>
          <w:highlight w:val="none"/>
          <w:lang w:eastAsia="zh-CN"/>
        </w:rPr>
        <w:t>。</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 xml:space="preserve"> 续航力</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本船机舱设 1 只容积</w:t>
      </w:r>
      <w:r>
        <w:rPr>
          <w:rFonts w:hint="eastAsia" w:ascii="仿宋" w:hAnsi="仿宋" w:eastAsia="仿宋" w:cs="仿宋"/>
          <w:color w:val="auto"/>
          <w:sz w:val="24"/>
          <w:szCs w:val="24"/>
          <w:highlight w:val="none"/>
          <w:lang w:val="en-US" w:eastAsia="zh-CN"/>
        </w:rPr>
        <w:t xml:space="preserve">450L 燃油箱，满足设计续航力 6h。 </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主机及设计航速</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本船主机选用柴油主机</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台，单机额定功率/转速：130</w:t>
      </w:r>
      <w:r>
        <w:rPr>
          <w:rFonts w:hint="eastAsia" w:ascii="仿宋" w:hAnsi="仿宋" w:eastAsia="仿宋" w:cs="仿宋"/>
          <w:color w:val="auto"/>
          <w:sz w:val="24"/>
          <w:szCs w:val="24"/>
          <w:highlight w:val="none"/>
          <w:lang w:val="en-US" w:eastAsia="zh-CN"/>
        </w:rPr>
        <w:t>HP</w:t>
      </w:r>
      <w:r>
        <w:rPr>
          <w:rFonts w:hint="eastAsia" w:ascii="仿宋" w:hAnsi="仿宋" w:eastAsia="仿宋" w:cs="仿宋"/>
          <w:color w:val="auto"/>
          <w:sz w:val="24"/>
          <w:szCs w:val="24"/>
          <w:highlight w:val="none"/>
        </w:rPr>
        <w:t xml:space="preserve">（96kW）/4000rpm，配艉机,减速比：2.2：1。在其额定功率下，本船最高航速可达 </w:t>
      </w:r>
      <w:r>
        <w:rPr>
          <w:rFonts w:hint="eastAsia" w:ascii="仿宋" w:hAnsi="仿宋" w:eastAsia="仿宋" w:cs="仿宋"/>
          <w:color w:val="auto"/>
          <w:sz w:val="24"/>
          <w:szCs w:val="24"/>
          <w:highlight w:val="none"/>
          <w:lang w:val="en-US" w:eastAsia="zh-CN"/>
        </w:rPr>
        <w:t>18</w:t>
      </w:r>
      <w:r>
        <w:rPr>
          <w:rFonts w:hint="eastAsia" w:ascii="仿宋" w:hAnsi="仿宋" w:eastAsia="仿宋" w:cs="仿宋"/>
          <w:color w:val="auto"/>
          <w:sz w:val="24"/>
          <w:szCs w:val="24"/>
          <w:highlight w:val="none"/>
        </w:rPr>
        <w:t>km/h。</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 xml:space="preserve"> 航行限制</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应通过回转试验确定允许的主机转速、航速及舵角。本船建议满舵回转时，主机转速不超过 1500rpm。</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 、总布置</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本船主甲板下共设 2 道水密横舱壁，分</w:t>
      </w:r>
      <w:r>
        <w:rPr>
          <w:rFonts w:hint="eastAsia" w:ascii="仿宋" w:hAnsi="仿宋" w:eastAsia="仿宋" w:cs="仿宋"/>
          <w:color w:val="auto"/>
          <w:sz w:val="24"/>
          <w:szCs w:val="24"/>
          <w:highlight w:val="none"/>
          <w:lang w:eastAsia="zh-CN"/>
        </w:rPr>
        <w:t>割</w:t>
      </w:r>
      <w:r>
        <w:rPr>
          <w:rFonts w:hint="eastAsia" w:ascii="仿宋" w:hAnsi="仿宋" w:eastAsia="仿宋" w:cs="仿宋"/>
          <w:color w:val="auto"/>
          <w:sz w:val="24"/>
          <w:szCs w:val="24"/>
          <w:highlight w:val="none"/>
        </w:rPr>
        <w:t>为机舱，泡沫浮力舱与客舱，艏尖舱。</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本船舱室甲板从艉向艏依次为：卫生间（左舷）、吧台（右舷）、客舱、驾驶室。</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本船舱室净空高不小于 1.85m。</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3、船体结构</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本船结构设计按照中国船级社（CCS）《内河小型船舶建造规范》(2022)， 全船肋骨间距为 500mm，纵骨间距 350mm。</w:t>
      </w:r>
    </w:p>
    <w:p>
      <w:pPr>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本船骨架结构形式：船底为纵骨架式，每档肋位设置实肋板，1 道中内龙骨，2 道旁内龙骨，龙骨间距 700mm，船侧为横骨架式，每间隔 3 档肋位设置强肋骨，主甲板及</w:t>
      </w:r>
      <w:bookmarkStart w:id="408" w:name="_GoBack"/>
      <w:bookmarkEnd w:id="408"/>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为纵骨架式，边甲板为横骨架式，并设边纵桁</w:t>
      </w:r>
      <w:r>
        <w:rPr>
          <w:rFonts w:hint="eastAsia" w:ascii="仿宋" w:hAnsi="仿宋" w:eastAsia="仿宋" w:cs="仿宋"/>
          <w:color w:val="auto"/>
          <w:sz w:val="24"/>
          <w:szCs w:val="24"/>
          <w:highlight w:val="none"/>
          <w:lang w:eastAsia="zh-CN"/>
        </w:rPr>
        <w:t>。</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 本船主要结构尺寸如下：</w:t>
      </w:r>
    </w:p>
    <w:tbl>
      <w:tblPr>
        <w:tblStyle w:val="966"/>
        <w:tblW w:w="621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10"/>
        <w:gridCol w:w="43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jc w:val="center"/>
        </w:trPr>
        <w:tc>
          <w:tcPr>
            <w:tcW w:w="1910"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w:t>
            </w:r>
          </w:p>
        </w:tc>
        <w:tc>
          <w:tcPr>
            <w:tcW w:w="4305"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设计板厚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9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船底外板</w:t>
            </w:r>
          </w:p>
        </w:tc>
        <w:tc>
          <w:tcPr>
            <w:tcW w:w="4305"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7mm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9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平板龙骨</w:t>
            </w:r>
          </w:p>
        </w:tc>
        <w:tc>
          <w:tcPr>
            <w:tcW w:w="4305"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11mm 宽度 450mm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19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船侧外板</w:t>
            </w:r>
          </w:p>
        </w:tc>
        <w:tc>
          <w:tcPr>
            <w:tcW w:w="4305"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7mm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19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露天甲板</w:t>
            </w:r>
          </w:p>
        </w:tc>
        <w:tc>
          <w:tcPr>
            <w:tcW w:w="4305"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6mm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19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边甲板</w:t>
            </w:r>
          </w:p>
        </w:tc>
        <w:tc>
          <w:tcPr>
            <w:tcW w:w="4305"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7mm，宽 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9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上建围壁</w:t>
            </w:r>
          </w:p>
        </w:tc>
        <w:tc>
          <w:tcPr>
            <w:tcW w:w="4305"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4.5 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9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甲板</w:t>
            </w:r>
          </w:p>
        </w:tc>
        <w:tc>
          <w:tcPr>
            <w:tcW w:w="4305"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3 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19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载客甲板</w:t>
            </w:r>
          </w:p>
        </w:tc>
        <w:tc>
          <w:tcPr>
            <w:tcW w:w="4305"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5 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9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客舱甲板</w:t>
            </w:r>
          </w:p>
        </w:tc>
        <w:tc>
          <w:tcPr>
            <w:tcW w:w="4305"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FRP2mm+9mm 夹板+ FRP2mm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9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尾封板</w:t>
            </w:r>
          </w:p>
        </w:tc>
        <w:tc>
          <w:tcPr>
            <w:tcW w:w="4305"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FRP5mm+45mm 杉木板+FRP5mm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19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水密舱壁板</w:t>
            </w:r>
          </w:p>
        </w:tc>
        <w:tc>
          <w:tcPr>
            <w:tcW w:w="4305"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FRP2mm+W20+FRP2mm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19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防撞舱壁板</w:t>
            </w:r>
          </w:p>
        </w:tc>
        <w:tc>
          <w:tcPr>
            <w:tcW w:w="4305"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FRP2mm+W20+FRP2mm</w:t>
            </w:r>
          </w:p>
        </w:tc>
      </w:tr>
    </w:tbl>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 隔舱：#7、#31 肋位设置水密横舱壁。#14、#20、#26 肋位设置半横舱壁，并设扶强材加强。</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 船体材料</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船体及上建结构材料采用中国船级社认可的玻璃纤维增强材料、胶衣树脂及不饱和聚脂树脂。</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 结构防火材料</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本船客舱（含卫生间）与机舱的分隔舱壁糊 3mm 厚阻燃树脂后贴 2 层 20mm 厚 A-60 级防火陶瓷岩棉以代替 10mm 的认可型隔热材料，且该隔热材料应在机舱的</w:t>
      </w: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、侧 壁处向后延伸 450mm；机舱的</w:t>
      </w: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、侧、后壁采用 3mm 阻燃树脂进行防火分隔。</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客舱（含卫生间） 处所顶部、侧面加装隔热层， 客舱（含卫生间） 的所有舱壁及 其衬板、天花板、衬档及隔热物均不燃材料，若上述衬板、天花板的表面需有贴面， 则贴面可使用可燃材料； 未敷设不燃材料的天花板或内衬，应采用敷设厚度不小于 1mm 阻燃性树脂或等效耐火材料敷设； 舱内的窗帘等内饰纺织品材料应具有阻止火焰蔓延 性能，地板覆盖物应有低播焰性。</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4、船舶舾装</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 舵设备</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操舵系统采用人力液压型船用液压泵，配液压油缸操舵系统， 液压油管长度为 18 米。在驾控台转动手轮，调节操作滑阀，改变液压油缸压力，控制艉机的左右转向。舵机配有舵角指示器（可在驾驶台显示）。</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 系泊设备本船在首、尾两舷各设双十字系缆桩 2 只，中部设挂环 12 只供挂防撞碰垫之用， 船首设 1 只十字系缆桩（可供拖带）。船首配 25kg 四爪铸钢锚 1 只，Φ20×30m 锚索 1 根，Φ20×35m 系船索 2 根，均为锦纶索。</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 栏杆、扶手</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本船甲板设置不锈钢栏杆， 高度 1000mm，</w:t>
      </w: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甲板设置舷墙及不锈钢栏杆，总高 度1000mm。</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 甲板及护舷</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全船设防滑甲板，两舷及尾部设 D100 橡胶护舷材，镶不锈钢扁条。</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 门、窗及舱口盖</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本船客舱尾部设 1 扇净宽度 800mm 的风雨密移门， 首部设 1 扇净宽度 650mm 的风 雨密前开门，门槛高度均为 100mm；驾驶室前窗采用无色钢化玻璃固定窗，外装 1 个 DC12V 双臂电动雨刮器。客舱及驾驶室两侧设置钢化玻璃固定窗（带移窗）。</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机舱设 3 个 1300x800/R80 舱口盖，首尖舱设 2 个 700x430/R40 玻璃钢风雨密人 孔盖，舱口盖围板高度均为 50mm。</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5、消防、救生设备</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消防设备配制表如下</w:t>
      </w:r>
    </w:p>
    <w:tbl>
      <w:tblPr>
        <w:tblStyle w:val="966"/>
        <w:tblW w:w="719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96"/>
        <w:gridCol w:w="2308"/>
        <w:gridCol w:w="1678"/>
        <w:gridCol w:w="18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1396"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位置</w:t>
            </w:r>
          </w:p>
        </w:tc>
        <w:tc>
          <w:tcPr>
            <w:tcW w:w="2308"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w:t>
            </w:r>
          </w:p>
        </w:tc>
        <w:tc>
          <w:tcPr>
            <w:tcW w:w="1678"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规格及型号</w:t>
            </w:r>
          </w:p>
        </w:tc>
        <w:tc>
          <w:tcPr>
            <w:tcW w:w="1812"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1396" w:type="dxa"/>
            <w:vMerge w:val="restart"/>
            <w:tcBorders>
              <w:bottom w:val="nil"/>
            </w:tcBorders>
            <w:noWrap w:val="0"/>
            <w:vAlign w:val="top"/>
          </w:tcPr>
          <w:p>
            <w:pPr>
              <w:bidi w:val="0"/>
              <w:spacing w:line="360" w:lineRule="auto"/>
              <w:ind w:leftChars="100"/>
              <w:rPr>
                <w:rFonts w:hint="eastAsia" w:ascii="仿宋" w:hAnsi="仿宋" w:eastAsia="仿宋" w:cs="仿宋"/>
                <w:color w:val="auto"/>
                <w:sz w:val="24"/>
                <w:szCs w:val="24"/>
                <w:highlight w:val="none"/>
              </w:rPr>
            </w:pPr>
          </w:p>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机舱</w:t>
            </w:r>
          </w:p>
        </w:tc>
        <w:tc>
          <w:tcPr>
            <w:tcW w:w="230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泡沫灭火器</w:t>
            </w:r>
          </w:p>
        </w:tc>
        <w:tc>
          <w:tcPr>
            <w:tcW w:w="167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9L</w:t>
            </w:r>
          </w:p>
        </w:tc>
        <w:tc>
          <w:tcPr>
            <w:tcW w:w="1812"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1396" w:type="dxa"/>
            <w:vMerge w:val="continue"/>
            <w:tcBorders>
              <w:top w:val="nil"/>
            </w:tcBorders>
            <w:noWrap w:val="0"/>
            <w:vAlign w:val="top"/>
          </w:tcPr>
          <w:p>
            <w:pPr>
              <w:bidi w:val="0"/>
              <w:spacing w:line="360" w:lineRule="auto"/>
              <w:ind w:left="0" w:leftChars="0"/>
              <w:rPr>
                <w:rFonts w:hint="eastAsia" w:ascii="仿宋" w:hAnsi="仿宋" w:eastAsia="仿宋" w:cs="仿宋"/>
                <w:color w:val="auto"/>
                <w:sz w:val="24"/>
                <w:szCs w:val="24"/>
                <w:highlight w:val="none"/>
              </w:rPr>
            </w:pPr>
          </w:p>
        </w:tc>
        <w:tc>
          <w:tcPr>
            <w:tcW w:w="230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电动消防泵</w:t>
            </w:r>
          </w:p>
        </w:tc>
        <w:tc>
          <w:tcPr>
            <w:tcW w:w="167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流量 12</w:t>
            </w:r>
            <w:r>
              <w:rPr>
                <w:rFonts w:hint="eastAsia" w:ascii="仿宋" w:hAnsi="仿宋" w:eastAsia="仿宋" w:cs="仿宋"/>
                <w:color w:val="auto"/>
                <w:sz w:val="24"/>
                <w:szCs w:val="24"/>
                <w:highlight w:val="none"/>
                <w:lang w:val="en-US" w:eastAsia="zh-CN"/>
              </w:rPr>
              <w:t>m³</w:t>
            </w:r>
            <w:r>
              <w:rPr>
                <w:rFonts w:hint="eastAsia" w:ascii="仿宋" w:hAnsi="仿宋" w:eastAsia="仿宋" w:cs="仿宋"/>
                <w:color w:val="auto"/>
                <w:sz w:val="24"/>
                <w:szCs w:val="24"/>
                <w:highlight w:val="none"/>
              </w:rPr>
              <w:t>/h</w:t>
            </w:r>
          </w:p>
        </w:tc>
        <w:tc>
          <w:tcPr>
            <w:tcW w:w="1812"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1396" w:type="dxa"/>
            <w:vMerge w:val="restart"/>
            <w:tcBorders>
              <w:bottom w:val="nil"/>
            </w:tcBorders>
            <w:noWrap w:val="0"/>
            <w:vAlign w:val="top"/>
          </w:tcPr>
          <w:p>
            <w:pPr>
              <w:bidi w:val="0"/>
              <w:spacing w:line="360" w:lineRule="auto"/>
              <w:ind w:leftChars="100"/>
              <w:rPr>
                <w:rFonts w:hint="eastAsia" w:ascii="仿宋" w:hAnsi="仿宋" w:eastAsia="仿宋" w:cs="仿宋"/>
                <w:color w:val="auto"/>
                <w:sz w:val="24"/>
                <w:szCs w:val="24"/>
                <w:highlight w:val="none"/>
              </w:rPr>
            </w:pPr>
          </w:p>
          <w:p>
            <w:pPr>
              <w:bidi w:val="0"/>
              <w:spacing w:line="360" w:lineRule="auto"/>
              <w:ind w:leftChars="100"/>
              <w:rPr>
                <w:rFonts w:hint="eastAsia" w:ascii="仿宋" w:hAnsi="仿宋" w:eastAsia="仿宋" w:cs="仿宋"/>
                <w:color w:val="auto"/>
                <w:sz w:val="24"/>
                <w:szCs w:val="24"/>
                <w:highlight w:val="none"/>
              </w:rPr>
            </w:pPr>
          </w:p>
          <w:p>
            <w:pPr>
              <w:bidi w:val="0"/>
              <w:spacing w:line="360" w:lineRule="auto"/>
              <w:ind w:leftChars="100"/>
              <w:rPr>
                <w:rFonts w:hint="eastAsia" w:ascii="仿宋" w:hAnsi="仿宋" w:eastAsia="仿宋" w:cs="仿宋"/>
                <w:color w:val="auto"/>
                <w:sz w:val="24"/>
                <w:szCs w:val="24"/>
                <w:highlight w:val="none"/>
              </w:rPr>
            </w:pPr>
          </w:p>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尾甲板</w:t>
            </w:r>
          </w:p>
        </w:tc>
        <w:tc>
          <w:tcPr>
            <w:tcW w:w="230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砂箱</w:t>
            </w:r>
          </w:p>
        </w:tc>
        <w:tc>
          <w:tcPr>
            <w:tcW w:w="1678" w:type="dxa"/>
            <w:noWrap w:val="0"/>
            <w:vAlign w:val="top"/>
          </w:tcPr>
          <w:p>
            <w:pPr>
              <w:bidi w:val="0"/>
              <w:spacing w:line="360" w:lineRule="auto"/>
              <w:ind w:left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0.03</w:t>
            </w:r>
            <w:r>
              <w:rPr>
                <w:rFonts w:hint="eastAsia" w:ascii="仿宋" w:hAnsi="仿宋" w:eastAsia="仿宋" w:cs="仿宋"/>
                <w:color w:val="auto"/>
                <w:sz w:val="24"/>
                <w:szCs w:val="24"/>
                <w:highlight w:val="none"/>
                <w:lang w:val="en-US" w:eastAsia="zh-CN"/>
              </w:rPr>
              <w:t>m³</w:t>
            </w:r>
          </w:p>
        </w:tc>
        <w:tc>
          <w:tcPr>
            <w:tcW w:w="1812"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1396" w:type="dxa"/>
            <w:vMerge w:val="continue"/>
            <w:tcBorders>
              <w:top w:val="nil"/>
              <w:bottom w:val="nil"/>
            </w:tcBorders>
            <w:noWrap w:val="0"/>
            <w:vAlign w:val="top"/>
          </w:tcPr>
          <w:p>
            <w:pPr>
              <w:bidi w:val="0"/>
              <w:spacing w:line="360" w:lineRule="auto"/>
              <w:ind w:left="0" w:leftChars="0"/>
              <w:rPr>
                <w:rFonts w:hint="eastAsia" w:ascii="仿宋" w:hAnsi="仿宋" w:eastAsia="仿宋" w:cs="仿宋"/>
                <w:color w:val="auto"/>
                <w:sz w:val="24"/>
                <w:szCs w:val="24"/>
                <w:highlight w:val="none"/>
              </w:rPr>
            </w:pPr>
          </w:p>
        </w:tc>
        <w:tc>
          <w:tcPr>
            <w:tcW w:w="230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干粉灭火器</w:t>
            </w:r>
          </w:p>
        </w:tc>
        <w:tc>
          <w:tcPr>
            <w:tcW w:w="167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5kg</w:t>
            </w:r>
          </w:p>
        </w:tc>
        <w:tc>
          <w:tcPr>
            <w:tcW w:w="1812"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1396" w:type="dxa"/>
            <w:vMerge w:val="continue"/>
            <w:tcBorders>
              <w:top w:val="nil"/>
              <w:bottom w:val="nil"/>
            </w:tcBorders>
            <w:noWrap w:val="0"/>
            <w:vAlign w:val="top"/>
          </w:tcPr>
          <w:p>
            <w:pPr>
              <w:bidi w:val="0"/>
              <w:spacing w:line="360" w:lineRule="auto"/>
              <w:ind w:left="0" w:leftChars="0"/>
              <w:rPr>
                <w:rFonts w:hint="eastAsia" w:ascii="仿宋" w:hAnsi="仿宋" w:eastAsia="仿宋" w:cs="仿宋"/>
                <w:color w:val="auto"/>
                <w:sz w:val="24"/>
                <w:szCs w:val="24"/>
                <w:highlight w:val="none"/>
              </w:rPr>
            </w:pPr>
          </w:p>
        </w:tc>
        <w:tc>
          <w:tcPr>
            <w:tcW w:w="230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太平斧</w:t>
            </w:r>
          </w:p>
        </w:tc>
        <w:tc>
          <w:tcPr>
            <w:tcW w:w="1678" w:type="dxa"/>
            <w:noWrap w:val="0"/>
            <w:vAlign w:val="top"/>
          </w:tcPr>
          <w:p>
            <w:pPr>
              <w:bidi w:val="0"/>
              <w:spacing w:line="360" w:lineRule="auto"/>
              <w:ind w:leftChars="100"/>
              <w:rPr>
                <w:rFonts w:hint="eastAsia" w:ascii="仿宋" w:hAnsi="仿宋" w:eastAsia="仿宋" w:cs="仿宋"/>
                <w:color w:val="auto"/>
                <w:sz w:val="24"/>
                <w:szCs w:val="24"/>
                <w:highlight w:val="none"/>
              </w:rPr>
            </w:pPr>
          </w:p>
        </w:tc>
        <w:tc>
          <w:tcPr>
            <w:tcW w:w="1812"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1396" w:type="dxa"/>
            <w:vMerge w:val="continue"/>
            <w:tcBorders>
              <w:top w:val="nil"/>
              <w:bottom w:val="nil"/>
            </w:tcBorders>
            <w:noWrap w:val="0"/>
            <w:vAlign w:val="top"/>
          </w:tcPr>
          <w:p>
            <w:pPr>
              <w:bidi w:val="0"/>
              <w:spacing w:line="360" w:lineRule="auto"/>
              <w:ind w:left="0" w:leftChars="0"/>
              <w:rPr>
                <w:rFonts w:hint="eastAsia" w:ascii="仿宋" w:hAnsi="仿宋" w:eastAsia="仿宋" w:cs="仿宋"/>
                <w:color w:val="auto"/>
                <w:sz w:val="24"/>
                <w:szCs w:val="24"/>
                <w:highlight w:val="none"/>
              </w:rPr>
            </w:pPr>
          </w:p>
        </w:tc>
        <w:tc>
          <w:tcPr>
            <w:tcW w:w="230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半圆形消防桶</w:t>
            </w:r>
          </w:p>
        </w:tc>
        <w:tc>
          <w:tcPr>
            <w:tcW w:w="1678" w:type="dxa"/>
            <w:noWrap w:val="0"/>
            <w:vAlign w:val="top"/>
          </w:tcPr>
          <w:p>
            <w:pPr>
              <w:bidi w:val="0"/>
              <w:spacing w:line="360" w:lineRule="auto"/>
              <w:ind w:leftChars="100"/>
              <w:rPr>
                <w:rFonts w:hint="eastAsia" w:ascii="仿宋" w:hAnsi="仿宋" w:eastAsia="仿宋" w:cs="仿宋"/>
                <w:color w:val="auto"/>
                <w:sz w:val="24"/>
                <w:szCs w:val="24"/>
                <w:highlight w:val="none"/>
              </w:rPr>
            </w:pPr>
          </w:p>
        </w:tc>
        <w:tc>
          <w:tcPr>
            <w:tcW w:w="1812"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1396" w:type="dxa"/>
            <w:vMerge w:val="continue"/>
            <w:tcBorders>
              <w:top w:val="nil"/>
              <w:bottom w:val="nil"/>
            </w:tcBorders>
            <w:noWrap w:val="0"/>
            <w:vAlign w:val="top"/>
          </w:tcPr>
          <w:p>
            <w:pPr>
              <w:bidi w:val="0"/>
              <w:spacing w:line="360" w:lineRule="auto"/>
              <w:ind w:left="0" w:leftChars="0"/>
              <w:rPr>
                <w:rFonts w:hint="eastAsia" w:ascii="仿宋" w:hAnsi="仿宋" w:eastAsia="仿宋" w:cs="仿宋"/>
                <w:color w:val="auto"/>
                <w:sz w:val="24"/>
                <w:szCs w:val="24"/>
                <w:highlight w:val="none"/>
              </w:rPr>
            </w:pPr>
          </w:p>
        </w:tc>
        <w:tc>
          <w:tcPr>
            <w:tcW w:w="230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消火栓</w:t>
            </w:r>
          </w:p>
        </w:tc>
        <w:tc>
          <w:tcPr>
            <w:tcW w:w="1678" w:type="dxa"/>
            <w:noWrap w:val="0"/>
            <w:vAlign w:val="top"/>
          </w:tcPr>
          <w:p>
            <w:pPr>
              <w:bidi w:val="0"/>
              <w:spacing w:line="360" w:lineRule="auto"/>
              <w:ind w:leftChars="100"/>
              <w:rPr>
                <w:rFonts w:hint="eastAsia" w:ascii="仿宋" w:hAnsi="仿宋" w:eastAsia="仿宋" w:cs="仿宋"/>
                <w:color w:val="auto"/>
                <w:sz w:val="24"/>
                <w:szCs w:val="24"/>
                <w:highlight w:val="none"/>
              </w:rPr>
            </w:pPr>
          </w:p>
        </w:tc>
        <w:tc>
          <w:tcPr>
            <w:tcW w:w="1812"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1396" w:type="dxa"/>
            <w:vMerge w:val="continue"/>
            <w:tcBorders>
              <w:top w:val="nil"/>
            </w:tcBorders>
            <w:noWrap w:val="0"/>
            <w:vAlign w:val="top"/>
          </w:tcPr>
          <w:p>
            <w:pPr>
              <w:bidi w:val="0"/>
              <w:spacing w:line="360" w:lineRule="auto"/>
              <w:ind w:left="0" w:leftChars="0"/>
              <w:rPr>
                <w:rFonts w:hint="eastAsia" w:ascii="仿宋" w:hAnsi="仿宋" w:eastAsia="仿宋" w:cs="仿宋"/>
                <w:color w:val="auto"/>
                <w:sz w:val="24"/>
                <w:szCs w:val="24"/>
                <w:highlight w:val="none"/>
              </w:rPr>
            </w:pPr>
          </w:p>
        </w:tc>
        <w:tc>
          <w:tcPr>
            <w:tcW w:w="230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消防水龙带及水枪</w:t>
            </w:r>
          </w:p>
        </w:tc>
        <w:tc>
          <w:tcPr>
            <w:tcW w:w="1678" w:type="dxa"/>
            <w:noWrap w:val="0"/>
            <w:vAlign w:val="top"/>
          </w:tcPr>
          <w:p>
            <w:pPr>
              <w:bidi w:val="0"/>
              <w:spacing w:line="360" w:lineRule="auto"/>
              <w:ind w:leftChars="100"/>
              <w:rPr>
                <w:rFonts w:hint="eastAsia" w:ascii="仿宋" w:hAnsi="仿宋" w:eastAsia="仿宋" w:cs="仿宋"/>
                <w:color w:val="auto"/>
                <w:sz w:val="24"/>
                <w:szCs w:val="24"/>
                <w:highlight w:val="none"/>
              </w:rPr>
            </w:pPr>
          </w:p>
        </w:tc>
        <w:tc>
          <w:tcPr>
            <w:tcW w:w="1812"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1396"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客舱</w:t>
            </w:r>
          </w:p>
        </w:tc>
        <w:tc>
          <w:tcPr>
            <w:tcW w:w="230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干粉灭火器</w:t>
            </w:r>
          </w:p>
        </w:tc>
        <w:tc>
          <w:tcPr>
            <w:tcW w:w="167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5kg</w:t>
            </w:r>
          </w:p>
        </w:tc>
        <w:tc>
          <w:tcPr>
            <w:tcW w:w="1812"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 具</w:t>
            </w:r>
          </w:p>
        </w:tc>
      </w:tr>
    </w:tbl>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 救生设备配制表如下：</w:t>
      </w:r>
    </w:p>
    <w:tbl>
      <w:tblPr>
        <w:tblStyle w:val="966"/>
        <w:tblW w:w="721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59"/>
        <w:gridCol w:w="2110"/>
        <w:gridCol w:w="1920"/>
        <w:gridCol w:w="18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jc w:val="center"/>
        </w:trPr>
        <w:tc>
          <w:tcPr>
            <w:tcW w:w="1359"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位置</w:t>
            </w:r>
          </w:p>
        </w:tc>
        <w:tc>
          <w:tcPr>
            <w:tcW w:w="2110"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w:t>
            </w:r>
          </w:p>
        </w:tc>
        <w:tc>
          <w:tcPr>
            <w:tcW w:w="1920"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规格及型号</w:t>
            </w:r>
          </w:p>
        </w:tc>
        <w:tc>
          <w:tcPr>
            <w:tcW w:w="1827"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jc w:val="center"/>
        </w:trPr>
        <w:tc>
          <w:tcPr>
            <w:tcW w:w="135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尾甲板</w:t>
            </w:r>
          </w:p>
        </w:tc>
        <w:tc>
          <w:tcPr>
            <w:tcW w:w="21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救生圈</w:t>
            </w:r>
          </w:p>
        </w:tc>
        <w:tc>
          <w:tcPr>
            <w:tcW w:w="1920"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带30m救生浮索</w:t>
            </w:r>
          </w:p>
        </w:tc>
        <w:tc>
          <w:tcPr>
            <w:tcW w:w="1827"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jc w:val="center"/>
        </w:trPr>
        <w:tc>
          <w:tcPr>
            <w:tcW w:w="135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甲板</w:t>
            </w:r>
          </w:p>
        </w:tc>
        <w:tc>
          <w:tcPr>
            <w:tcW w:w="21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救生圈</w:t>
            </w:r>
          </w:p>
        </w:tc>
        <w:tc>
          <w:tcPr>
            <w:tcW w:w="1920" w:type="dxa"/>
            <w:noWrap w:val="0"/>
            <w:vAlign w:val="top"/>
          </w:tcPr>
          <w:p>
            <w:pPr>
              <w:bidi w:val="0"/>
              <w:spacing w:line="360" w:lineRule="auto"/>
              <w:jc w:val="center"/>
              <w:rPr>
                <w:rFonts w:hint="eastAsia" w:ascii="仿宋" w:hAnsi="仿宋" w:eastAsia="仿宋" w:cs="仿宋"/>
                <w:color w:val="auto"/>
                <w:sz w:val="24"/>
                <w:szCs w:val="24"/>
                <w:highlight w:val="none"/>
              </w:rPr>
            </w:pPr>
          </w:p>
        </w:tc>
        <w:tc>
          <w:tcPr>
            <w:tcW w:w="1827"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jc w:val="center"/>
        </w:trPr>
        <w:tc>
          <w:tcPr>
            <w:tcW w:w="135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客舱</w:t>
            </w:r>
          </w:p>
        </w:tc>
        <w:tc>
          <w:tcPr>
            <w:tcW w:w="21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救生衣</w:t>
            </w:r>
          </w:p>
        </w:tc>
        <w:tc>
          <w:tcPr>
            <w:tcW w:w="1920"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成人</w:t>
            </w:r>
          </w:p>
        </w:tc>
        <w:tc>
          <w:tcPr>
            <w:tcW w:w="1827"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28</w:t>
            </w:r>
            <w:r>
              <w:rPr>
                <w:rFonts w:hint="eastAsia" w:ascii="仿宋" w:hAnsi="仿宋" w:eastAsia="仿宋" w:cs="仿宋"/>
                <w:color w:val="auto"/>
                <w:sz w:val="24"/>
                <w:szCs w:val="24"/>
                <w:highlight w:val="none"/>
              </w:rPr>
              <w:t xml:space="preserve"> 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jc w:val="center"/>
        </w:trPr>
        <w:tc>
          <w:tcPr>
            <w:tcW w:w="135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客舱</w:t>
            </w:r>
          </w:p>
        </w:tc>
        <w:tc>
          <w:tcPr>
            <w:tcW w:w="21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救生衣</w:t>
            </w:r>
          </w:p>
        </w:tc>
        <w:tc>
          <w:tcPr>
            <w:tcW w:w="1920"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船员</w:t>
            </w:r>
          </w:p>
        </w:tc>
        <w:tc>
          <w:tcPr>
            <w:tcW w:w="1827"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 xml:space="preserve"> 件</w:t>
            </w:r>
          </w:p>
        </w:tc>
      </w:tr>
    </w:tbl>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6、航行信号设备</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 本船根据《规则》要求设有 11 只航行信号灯， 分别为 1 只白桅灯、1 只白环灯（锚灯）、1 只绿环灯、1 只红闪灯、1 只绿闪灯、2 只红环失控灯、1 只艉灯、1 只左舷灯、 1 只右舷灯、1 只白闪灯、均为 DC12V 25W。本船设 1 只 SSD-1 (DC12V/100W)探照灯， 装在</w:t>
      </w: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甲板首部。</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 本船应配红、白旗各一面（尺寸大于等于 0.4mx0.6m） ,直径 300mm 黑色球体号型 1 只。本船配 1 只手电筒。</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7 、航行导航设备</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 本船配有 1 套固定式甚高频无线电话。</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 本船配有 1 台主机远程控制仪表可对主机转速等监控与控制，主机配套。</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 本船配有 1 台辅机远程控制仪表可对辅机转速等监控与控制，辅机配套。</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7.4 本船配有测深杆 2 根，测深锤 1 个。</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7.5 本船配 1 台车载播放器（带 FM/AM）用于接收航行安全信息。</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7.6 本船配有 1 套舵角指示器，舵机配套。 </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8 、船内通信设备</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 在</w:t>
      </w: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甲板设有 1 只 DC12V 120dB 双筒电笛。</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 驾驶台设喊话器 1 套，CJB40AD 配扬声器若干个，对内对外进行喊话。</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9、防污染</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 xml:space="preserve">本船卫生间底部设 1 只 350L 污水箱，甲板上设有 1 只污水标准排放接头。卫生间 </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电动马桶产生的污水排放至污水箱内，洗手池产生的污水通过舷侧污水管直排至舷外。 </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.2 本船机舱设有 1 只 1</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L 污油箱， 甲板上设有 1 只污油水标准排放接头， 机舱污油水通过 1 台手摇泵抽至污油箱内， 在船靠岸时通过岸上污油处理设施抽取到岸上处理。</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.3 本船在客舱设 4 只容积 25L 的垃圾存放箱。</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本船建议船舶垃圾分为以下几类，并应加上图示、颜色等标识：</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（1）厨余垃圾；</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（2）可回收垃圾（塑料、金属、废纸等）；</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（3）有害垃圾（含油垃圾、废电池、灯管等）；</w:t>
      </w:r>
    </w:p>
    <w:p>
      <w:pPr>
        <w:bidi w:val="0"/>
        <w:spacing w:line="360" w:lineRule="auto"/>
        <w:rPr>
          <w:rFonts w:hint="eastAsia" w:ascii="仿宋" w:hAnsi="仿宋" w:eastAsia="仿宋" w:cs="仿宋"/>
          <w:bCs w:val="0"/>
          <w:color w:val="auto"/>
          <w:sz w:val="32"/>
          <w:highlight w:val="none"/>
        </w:rPr>
      </w:pPr>
      <w:r>
        <w:rPr>
          <w:rFonts w:hint="eastAsia" w:ascii="仿宋" w:hAnsi="仿宋" w:eastAsia="仿宋" w:cs="仿宋"/>
          <w:color w:val="auto"/>
          <w:sz w:val="24"/>
          <w:szCs w:val="24"/>
          <w:highlight w:val="none"/>
        </w:rPr>
        <w:t>（4）其它垃圾（烟头、 一次性餐具等）。</w:t>
      </w:r>
    </w:p>
    <w:p>
      <w:pPr>
        <w:rPr>
          <w:rFonts w:hint="eastAsia" w:ascii="仿宋" w:hAnsi="仿宋" w:eastAsia="仿宋" w:cs="仿宋"/>
          <w:color w:val="auto"/>
          <w:highlight w:val="none"/>
        </w:rPr>
      </w:pPr>
    </w:p>
    <w:p>
      <w:pPr>
        <w:rPr>
          <w:rStyle w:val="355"/>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（二）10.56m巡护艇</w:t>
      </w:r>
      <w:r>
        <w:rPr>
          <w:rFonts w:hint="eastAsia" w:ascii="仿宋" w:hAnsi="仿宋" w:eastAsia="仿宋" w:cs="仿宋"/>
          <w:b/>
          <w:bCs/>
          <w:color w:val="auto"/>
          <w:sz w:val="24"/>
          <w:szCs w:val="24"/>
          <w:highlight w:val="none"/>
        </w:rPr>
        <w:t>技术需求</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1、概述</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1 船型、航区及用途</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本船为单底、单甲板，双机双桨，舷外汽油挂机动力驱动的尖舭型玻璃钢船，船体及上层建筑均采用玻璃纤维增强塑料制造。可航行于内河 B 级航区。</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 设计准则</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本船设计准则为中国船级社（CCS）《内河高速船建造规范》(2022)，中华人民共和国海事局（MSA）《内河船舶法定检验技术规则》（2019），中国船级社（CCS）《材料与焊接规范》（2022）及 2023 年修改通报； 中华人民共和国海事局（MSA）《吨位丈量规则》（2022）。</w:t>
      </w:r>
    </w:p>
    <w:p>
      <w:pPr>
        <w:bidi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szCs w:val="24"/>
          <w:highlight w:val="none"/>
        </w:rPr>
        <w:t>本船按高速船进行设计。</w:t>
      </w:r>
    </w:p>
    <w:p>
      <w:pPr>
        <w:numPr>
          <w:ilvl w:val="0"/>
          <w:numId w:val="4"/>
        </w:num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3 </w:t>
      </w:r>
      <w:r>
        <w:rPr>
          <w:rFonts w:hint="eastAsia" w:ascii="仿宋" w:hAnsi="仿宋" w:eastAsia="仿宋" w:cs="仿宋"/>
          <w:color w:val="auto"/>
          <w:sz w:val="24"/>
          <w:szCs w:val="24"/>
          <w:highlight w:val="none"/>
        </w:rPr>
        <w:t>定员</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本船乘客 10 人，船员 2 人。</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 xml:space="preserve"> 稳性及不沉性</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本船稳性及不沉性满足中华人民共和国海事局（MSA）《内河船舶法定检验技术规则》（2019）对内河 B 级航区船舶的要求。</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干舷</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本船干舷满足中华人民共和国海事局（MSA）《内河船舶法定检验技术规则》（2019）对内河 B 级航区船舶的要求。</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吨位</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本船吨位中华人民共和国海事局（MSA）《吨位丈量规则》（2022）进行校核。</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 xml:space="preserve"> 续航力</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本船艉甲板左、右两舷各设有 1 只 125L 容量的燃油箱，续航力为 2h。</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 xml:space="preserve"> 主机及设计航速</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本船主机选用汽油舷外挂机 2 台，单机额定功率/转速：2</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HP</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147</w:t>
      </w:r>
      <w:r>
        <w:rPr>
          <w:rFonts w:hint="eastAsia" w:ascii="仿宋" w:hAnsi="仿宋" w:eastAsia="仿宋" w:cs="仿宋"/>
          <w:color w:val="auto"/>
          <w:sz w:val="24"/>
          <w:szCs w:val="24"/>
          <w:highlight w:val="none"/>
        </w:rPr>
        <w:t>kW)/5600rpm。在其额定功率下，本船最高航速可达 65km/h。</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航行限制</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应通过回转试验确定允许的主机转速、航速及舵角，本船建议满舵回转时，左、右主机转速不超过 2000rpm。</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2、总布置</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本船甲板下共设 2 道水密舱壁，分</w:t>
      </w:r>
      <w:r>
        <w:rPr>
          <w:rFonts w:hint="eastAsia" w:ascii="仿宋" w:hAnsi="仿宋" w:eastAsia="仿宋" w:cs="仿宋"/>
          <w:color w:val="auto"/>
          <w:sz w:val="24"/>
          <w:szCs w:val="24"/>
          <w:highlight w:val="none"/>
          <w:lang w:eastAsia="zh-CN"/>
        </w:rPr>
        <w:t>割</w:t>
      </w:r>
      <w:r>
        <w:rPr>
          <w:rFonts w:hint="eastAsia" w:ascii="仿宋" w:hAnsi="仿宋" w:eastAsia="仿宋" w:cs="仿宋"/>
          <w:color w:val="auto"/>
          <w:sz w:val="24"/>
          <w:szCs w:val="24"/>
          <w:highlight w:val="none"/>
        </w:rPr>
        <w:t>为艉舱</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乘员舱、泡沫浮力舱, 艏尖舱。其中乘员舱设有单人座椅 10 张，驾驶椅 2 张。</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前排驾驶椅配安全带。</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 船体结构</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本船结构根据中国船级社（CCS）《内河高速船建造规范》（2022）要求进行设计，校核。全船肋骨间距为 475mm，纵骨间距 320mm。</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本船骨架结构形式：船底纵骨架式,每档肋位设置实肋板，1 道中内龙骨，2 道旁内龙骨；船侧为横骨架式，每间隔 1 个肋位设置强肋骨；主甲板及</w:t>
      </w: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为纵骨架式，边甲板横骨架式。</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 本船主要结构尺寸如下：</w:t>
      </w:r>
    </w:p>
    <w:tbl>
      <w:tblPr>
        <w:tblStyle w:val="966"/>
        <w:tblW w:w="6299" w:type="dxa"/>
        <w:tblInd w:w="197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79"/>
        <w:gridCol w:w="39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2379"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w:t>
            </w:r>
          </w:p>
        </w:tc>
        <w:tc>
          <w:tcPr>
            <w:tcW w:w="3920"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设计板厚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船底外板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6mm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平板龙骨</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9mm 宽度 300mm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船侧外板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5mm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主甲板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5mm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上建前端壁</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5mm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上建侧、后围壁</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4 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甲板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4 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舱室甲板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FRP3mm+9mm 夹板+ FRP1mm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艉封板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FRP5mm+45 硬木板+ FRP5mm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水密舱壁板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FRP5mm+9mm 夹板+ FRP1mm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防撞舱壁板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FRP5mm+9mm 夹板+ FRP1mm</w:t>
            </w:r>
          </w:p>
        </w:tc>
      </w:tr>
    </w:tbl>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 隔舱：#4、#18 肋位设置水密横舱壁。</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 船体材料</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本船采用中国船级社认可的玻璃纤维增强材料、胶衣树脂及不饱和聚脂树脂。</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 防火材料</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本船在艉舱前壁糊 3mm 阻燃树脂基础上贴 2 层 20mm 防火陶瓷岩棉板，其结构应能承受 15min 的标准耐火试验。尾舱侧、后壁，</w:t>
      </w: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糊 3mm 阻燃树脂；乘员舱顶部、侧面加装隔热层，未敷设不燃材料的天花板或内衬， 应采用敷设厚度不小于 1mm 阻燃性树脂或等效耐火材料敷设，舱内的窗帘等内饰纺织品材料应具有阻止火焰蔓延性能，地板覆盖物应有低播焰性。</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4、船舶舾装</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 舵设备</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操舵系统可采用液压操舵系统。在驾控台转动手轮，控制主机的左右转向，应满足从一舷满舵到另一舷满舵操舵时间不超过 20 秒。</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 系泊设备</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本船两舷共设不锈钢羊角 2 对，挂环 3 对，船首设 1 只不锈钢 U 型环（可兼做拖带）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船首配 15kg 大抓力锚 1 只，Φ16 × 50m 锚索 1 根，Φ16 × 20m 系船索 2 根，均为</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锦纶索。</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 栏杆、扶手</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本船首、尾甲板设置不锈钢保护栏杆，上建两舷设安全扶手。</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 甲板及护舷</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全船设防滑甲板，两舷及尾部设 D90 橡胶护舷材，镶不锈钢扁条。</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 门、窗及舱口盖</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本船在乘员舱尾部设净宽度800mm的风雨密双开门， 船首设净宽度600mm的风雨密单开门，门槛高度均为150mm；前挡风玻璃窗采用钢化玻璃固定窗。乘员舱两侧设置 钢化玻璃窗（带移窗）。艉甲板设1个500x1000/R50玻璃钢水密舱口盖，首甲板设1个380x430/R50玻璃钢水密舱口盖，舱口盖航行期间应保持关闭。</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5、消防、救生设备</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（1)、本船配 5kg 干粉灭火器 2 只，9L 泡沫灭火器 1 只。</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（2)、本船配消防水桶 1 只，带绳子 5m。</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（3)、本船配 2 个救生圈(均带有 18m 长救生浮索)。</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（4)、本船配救生衣 13 件(包含船员衣 2 件，儿童救生衣 1 件)</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（5）、本船配太平斧 1 把。</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6、航行信号设备</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本船根据 19《法规》设有 9 只航行信号灯：1 盏白桅灯、1 盏白闪灯、1 盏白环 灯、1 盏黄闪灯、1 盏左舷灯、1 盏右舷灯、2 盏红环灯和 1 盏艉灯， 航行信号灯规格 均为：DC12V 25W。通过安装在驾驶台的航行信号灯控制板进行控制。</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甲板艏部配有 1 盏 JABSCO 135SL(DC12V 100W)型电动探照灯，控制板设在驾控台。</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7、通讯导航设备</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 本船配有 1 部固定甚高频无线电话。</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 驾驶台设 1 套 喊话装置，可对外、对内喊话。</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 本船配有 1 只车载播放器，用于接收航行信息和播放娱乐节目。</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7.4 在</w:t>
      </w: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 xml:space="preserve">甲板设有 1 只 DC12V 120dB 型双筒电笛。 </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8、环保要求</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 生活固体垃圾</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本船在乘员舱设 1 只容积 20L 的垃圾存放桶（带 4 宫格，满足垃圾分类要求）， 便于垃圾分类收集并集中处理。</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 舷外挂机防污染</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在挂机安装部位设 1 块面积不小于 0.05㎡ 的吸油毡，并配 5L 污油桶。</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8.3 艉舱内设 1 只 30L 污油桶。</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9、注意事项</w:t>
      </w:r>
    </w:p>
    <w:p>
      <w:pPr>
        <w:bidi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szCs w:val="24"/>
          <w:highlight w:val="none"/>
        </w:rPr>
        <w:t>为了安全起见，乘各应尽量乘坐均匀，严禁出现集中一舷情况，且所有人员（包括船员）必须穿救生衣乘坐。</w:t>
      </w:r>
    </w:p>
    <w:p>
      <w:pPr>
        <w:spacing w:line="520" w:lineRule="exact"/>
        <w:ind w:firstLine="241" w:firstLineChars="100"/>
        <w:rPr>
          <w:rStyle w:val="327"/>
          <w:rFonts w:hint="eastAsia" w:ascii="仿宋" w:hAnsi="仿宋" w:eastAsia="仿宋" w:cs="仿宋"/>
          <w:color w:val="auto"/>
          <w:highlight w:val="none"/>
          <w:lang w:val="en-US" w:eastAsia="zh-CN"/>
        </w:rPr>
      </w:pPr>
      <w:r>
        <w:rPr>
          <w:rFonts w:hint="eastAsia" w:ascii="仿宋" w:hAnsi="仿宋" w:eastAsia="仿宋" w:cs="仿宋"/>
          <w:b/>
          <w:bCs/>
          <w:color w:val="auto"/>
          <w:kern w:val="2"/>
          <w:sz w:val="24"/>
          <w:szCs w:val="24"/>
          <w:highlight w:val="none"/>
          <w:lang w:val="en-US" w:eastAsia="zh-CN" w:bidi="ar-SA"/>
        </w:rPr>
        <w:t>（三）7.68m巡护艇技术需求</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1、概述</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1 船型、航区及用途</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本艇为单底、单甲板，单机单桨，舷外汽油机动力驱动的尖舭型玻璃钢船，船体及上层建筑均采用玻璃纤维增强塑料制造。</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 设计准则</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本艇设计准则为中国船级社（CCS）《内河高速船入级与建造规范》(2016)及 2018 年变更通告， 中国船级社（CCS）《材料与焊接规范》（2021），中华人民共和国海事局 （MSA）《内河船舶法定检验技术规则》（2019），中华人民共和国海事局（MSA）《内河小型船舶检验技术规则》（2016） 及 2019 年修改通报。</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本艇按高速船进行设计</w:t>
      </w:r>
    </w:p>
    <w:p>
      <w:pPr>
        <w:rPr>
          <w:rFonts w:hint="eastAsia" w:ascii="仿宋" w:hAnsi="仿宋" w:eastAsia="仿宋" w:cs="仿宋"/>
          <w:color w:val="auto"/>
          <w:highlight w:val="none"/>
          <w:lang w:val="en-US" w:eastAsia="zh-CN"/>
        </w:rPr>
      </w:pP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rPr>
        <w:t xml:space="preserve"> 定员</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本艇工作人员 </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人，船员 1 人。</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 xml:space="preserve"> 稳性</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本艇稳性满足中华人民共和国海事局（MSA）《内河船舶法定检验技术规则》（2019</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对内河 B 级航区船舶的要求。</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 xml:space="preserve"> 干舷</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本艇干舷满足中华人民共和国海事局（MSA）《内河船舶法定检验技术规则》（2019）对内河 B 级航区船舶的要求。</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 xml:space="preserve"> 吨位</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本艇吨位按照中华人民共和国海事局（MSA）《内河小型船舶检验技术规则》（2016）及 2019 年修改通报进行校核。</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 xml:space="preserve"> 续航力</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本艇尾甲板配 2 只60升容量的日用燃油箱，油箱带遮阳罩，设计续航力为 100km。 </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 xml:space="preserve"> 主机及设计航速</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本艇主机选用汽油舷外机 1 台，单机额定功率</w:t>
      </w:r>
      <w:r>
        <w:rPr>
          <w:rFonts w:hint="eastAsia" w:ascii="仿宋" w:hAnsi="仿宋" w:eastAsia="仿宋" w:cs="仿宋"/>
          <w:color w:val="auto"/>
          <w:sz w:val="24"/>
          <w:szCs w:val="24"/>
          <w:highlight w:val="none"/>
          <w:lang w:val="en-US" w:eastAsia="zh-CN"/>
        </w:rPr>
        <w:t>175</w:t>
      </w:r>
      <w:r>
        <w:rPr>
          <w:rFonts w:hint="eastAsia" w:ascii="仿宋" w:hAnsi="仿宋" w:eastAsia="仿宋" w:cs="仿宋"/>
          <w:color w:val="auto"/>
          <w:sz w:val="24"/>
          <w:szCs w:val="24"/>
          <w:highlight w:val="none"/>
        </w:rPr>
        <w:t>HP，在其额定功率下，本船最高航速可达</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5km/h。</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 xml:space="preserve"> 航行限制</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应通过回转试验确定允许的主机转速、航速及舵角，本艇建议满舵回转时，主机转速不超过 3000rpm。</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2、总布置</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本艇甲板下共设 2 道水密舱壁，分别</w:t>
      </w:r>
      <w:r>
        <w:rPr>
          <w:rFonts w:hint="eastAsia" w:ascii="仿宋" w:hAnsi="仿宋" w:eastAsia="仿宋" w:cs="仿宋"/>
          <w:color w:val="auto"/>
          <w:sz w:val="24"/>
          <w:szCs w:val="24"/>
          <w:highlight w:val="none"/>
          <w:lang w:eastAsia="zh-CN"/>
        </w:rPr>
        <w:t>割</w:t>
      </w:r>
      <w:r>
        <w:rPr>
          <w:rFonts w:hint="eastAsia" w:ascii="仿宋" w:hAnsi="仿宋" w:eastAsia="仿宋" w:cs="仿宋"/>
          <w:color w:val="auto"/>
          <w:sz w:val="24"/>
          <w:szCs w:val="24"/>
          <w:highlight w:val="none"/>
        </w:rPr>
        <w:t>为艉舱</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乘员舱, 艏尖舱。其中乘员舱设有 </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 xml:space="preserve"> 张乘员座椅及 1 张驾驶椅。驾驶椅及前排乘员座椅均配安全带。</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 船体结构</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本艇结构设计按中国船级社（CCS）《内河高速船入级与建造规范》（2016）及 2018年变更通告的要求进行，全船肋骨间距为 500mm，纵骨间距 300mm。</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本艇骨架结构形式：船底纵骨架式，每档肋位设置实肋板，1道中内龙骨，4道船底纵骨；船侧横骨架式，设置肋骨及纵桁；甲板为纵骨架式。</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 本艇主要结构尺寸如下：</w:t>
      </w:r>
    </w:p>
    <w:tbl>
      <w:tblPr>
        <w:tblStyle w:val="966"/>
        <w:tblW w:w="629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79"/>
        <w:gridCol w:w="39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jc w:val="center"/>
        </w:trPr>
        <w:tc>
          <w:tcPr>
            <w:tcW w:w="2379"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w:t>
            </w:r>
          </w:p>
        </w:tc>
        <w:tc>
          <w:tcPr>
            <w:tcW w:w="3920"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设计板厚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船底外板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6mm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平板龙骨</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9mm 宽度 250mm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jc w:val="center"/>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船侧外板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5mm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主甲板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5mm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载客甲板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3mm+9mm 夹板+ FRP1mm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艉封板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5mm+3x15mm 夹板+ FRP5mm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水密舱壁板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5mm+7mm 夹板+ FRP1mm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jc w:val="center"/>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防撞舱壁板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5mm+7mm 夹板+ FRP1mm</w:t>
            </w:r>
          </w:p>
        </w:tc>
      </w:tr>
    </w:tbl>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 隔舱：#2、#13 肋位设置水密横舱壁，#7 设边纵桁支撑舱壁。。</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 船体材料</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本艇采用中国船级社认可的玻璃纤维增强材料、胶衣树脂及不饱和聚脂树脂。</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 防火材料</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本艇艉舱周壁糊 3mm 厚阻燃树脂。本艇乘员舱顶部、侧面加装隔热层；未敷设不燃材料的天花板或内衬，应采用敷设厚度不小于 1mm 阻燃性树脂或等效耐火材料敷设，舱内的窗帘等内饰纺织品材料应具有阻止火焰蔓延性能，地板覆盖物应有低播焰性。</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4、船舶舾装</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 舵设备</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操舵系统可采用液压操舵系统。在驾控台转动手轮，控制主机的左右转向，应满足从一舷满舵到另一舷满舵操舵时间不超过 20 秒。</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 系泊设备</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本艇两舷共设不锈钢羊角 2 对，中部设挂环 4 只，船首设不锈钢 U 型环 1 只（可兼做拖带）。船首配 10kg 大抓力锚 1 只，φ16×50m 锚索 1 根，φ16×20m 系船索 2根，均为锦纶索。</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 栏杆、扶手</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本艇首、尾甲板设置不锈钢保护栏杆， 尾栏杆高度为 1000mm， 上建两舷设安全扶手。</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 甲板及护舷全船设防滑甲板，两舷及尾部设 D60 橡胶护舷材，镶不锈钢扁条。</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 门、窗及舱口盖</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本艇在乘员舱尾部设净宽度 700mm 的风雨密双开门，首部设净宽度 600mm 的风雨密单开门，门槛高度均为 150mm；驾驶室前窗采用钢化玻璃固定窗。乘员舱两侧设置 1 套钢化玻璃固定窗（带换气移窗）。艉甲板设 1 个 390×1370/R50 玻璃钢水密舱口盖。</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5、消防、救生设备</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1)、本艇配 5kg 干粉灭火器 2 只，9L 泡沫灭火器 1 只。</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2)、本艇配消防水桶 1 只，带绳子 5m。</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3)、本艇配自动舱底泵 2 台，另设 1 台手摇泵。</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4)、本艇配 2 个救生圈(带有 18m 长救生浮索)。</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5)、本艇配救生衣 10 件(包含船员衣 1 件、备用救生衣 2 件)</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6）、本艇配太平斧 1 把。</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6、照明系统</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 航行信号灯</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 19《法规》要求配备航行信号灯： 1 盏白环灯、1 盏黄闪灯、1 盏左舷灯、1 盏右舷灯、1 盏艉灯， 航行信号灯规格均为： DC12V 25W。通过安装在驾驶台的航行信</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号灯控制板进行控制。</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 电动搜索灯</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甲板艏部配有 1 盏 JABSCO 135SL(DC12V 100W)型电动搜索灯，控制板设在驾控台。</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6.3 舱室照明</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乘员舱设有 4 盏 DC12V 5W 型 LED 筒灯，电源开关设在尾门出入口旁。</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7、通讯导航设备</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 xml:space="preserve">1 </w:t>
      </w:r>
      <w:r>
        <w:rPr>
          <w:rFonts w:hint="eastAsia" w:ascii="仿宋" w:hAnsi="仿宋" w:eastAsia="仿宋" w:cs="仿宋"/>
          <w:color w:val="auto"/>
          <w:sz w:val="24"/>
          <w:szCs w:val="24"/>
          <w:highlight w:val="none"/>
        </w:rPr>
        <w:t>雨刮器</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前挡风玻璃窗设有 1 套扇形雨刮器，规格为：单臂，DC12V 30W，控制板设在驾控台。</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 xml:space="preserve"> 电笛</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甲板艏部设有 1 只 DC12V 120dB 型不锈钢电笛，控制板设在驾控台。</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 xml:space="preserve"> 甚高频无线电话</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本艇设 1 套 固定式甚高频无线电话。</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 xml:space="preserve"> 车载 CD 播放机</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本艇设 1 部车载 CD 播放机， 配有 2 只 5W 吸顶式扬声器， 用于接收航行信息和播放娱乐节目。</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8、其它</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 本艇配#5 国旗 1 面</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 本艇配有 1 套电子油位计。</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9、环保要求</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9.1 为了防止挂机油污染，应在甲板艉部设 1 只 5L 污油桶和 1 块面积不小于 0.05m2 吸油毡。</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 为了防止生活垃圾污染， 应在乘员舱内适当位置放置 1 个 15L 杂物桶（带 4 宫格， 满足垃圾分类要求），便于垃圾集中处理。</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10、注意事项</w:t>
      </w:r>
    </w:p>
    <w:p>
      <w:pPr>
        <w:bidi w:val="0"/>
        <w:spacing w:line="360" w:lineRule="auto"/>
        <w:ind w:firstLine="480" w:firstLineChars="200"/>
        <w:rPr>
          <w:rFonts w:hint="eastAsia" w:ascii="仿宋" w:hAnsi="仿宋" w:eastAsia="仿宋" w:cs="仿宋"/>
          <w:color w:val="auto"/>
        </w:rPr>
      </w:pPr>
      <w:r>
        <w:rPr>
          <w:rFonts w:hint="eastAsia" w:ascii="仿宋" w:hAnsi="仿宋" w:eastAsia="仿宋" w:cs="仿宋"/>
          <w:color w:val="auto"/>
          <w:sz w:val="24"/>
          <w:szCs w:val="24"/>
          <w:highlight w:val="none"/>
        </w:rPr>
        <w:t>为了安全起见，乘客应尽量乘坐均匀，严禁出现乘客集中一舷情况，且所有人员（包括船员、工作人员）必须穿救生衣乘坐。</w:t>
      </w:r>
    </w:p>
    <w:p>
      <w:pPr>
        <w:spacing w:line="520" w:lineRule="exact"/>
        <w:ind w:firstLine="281" w:firstLineChars="100"/>
        <w:rPr>
          <w:rStyle w:val="327"/>
          <w:rFonts w:hint="eastAsia" w:ascii="仿宋" w:hAnsi="仿宋" w:eastAsia="仿宋" w:cs="仿宋"/>
          <w:color w:val="auto"/>
          <w:highlight w:val="none"/>
          <w:lang w:val="en-US" w:eastAsia="zh-CN"/>
        </w:rPr>
      </w:pPr>
      <w:r>
        <w:rPr>
          <w:rStyle w:val="327"/>
          <w:rFonts w:hint="eastAsia" w:ascii="仿宋" w:hAnsi="仿宋" w:eastAsia="仿宋" w:cs="仿宋"/>
          <w:color w:val="auto"/>
          <w:highlight w:val="none"/>
          <w:lang w:val="en-US" w:eastAsia="zh-CN"/>
        </w:rPr>
        <w:t>三、项目实施要求</w:t>
      </w:r>
    </w:p>
    <w:p>
      <w:pPr>
        <w:spacing w:line="5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1.为保证本项目的顺利实施，供应商应结合各自产品特点，自行设计实施方案、图纸并配以文字说明；</w:t>
      </w:r>
    </w:p>
    <w:p>
      <w:pPr>
        <w:spacing w:line="5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2.交货</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highlight w:val="none"/>
        </w:rPr>
        <w:t>交接船签字前，必须符合合同规定，完成系泊、航行试验及各种试验，各项性能应达到技术要求，各种备品、证书、资料等均已办妥；交船时，船舶应处于彻底清洁状态，直到采购单位认为可安全营运为止</w:t>
      </w:r>
      <w:r>
        <w:rPr>
          <w:rFonts w:hint="eastAsia" w:ascii="仿宋" w:hAnsi="仿宋" w:eastAsia="仿宋" w:cs="仿宋"/>
          <w:color w:val="auto"/>
          <w:sz w:val="24"/>
          <w:highlight w:val="none"/>
          <w:lang w:eastAsia="zh-CN"/>
        </w:rPr>
        <w:t>；</w:t>
      </w:r>
    </w:p>
    <w:p>
      <w:pPr>
        <w:spacing w:line="520" w:lineRule="exact"/>
        <w:ind w:firstLine="281" w:firstLineChars="100"/>
        <w:rPr>
          <w:rStyle w:val="327"/>
          <w:rFonts w:hint="eastAsia" w:ascii="仿宋" w:hAnsi="仿宋" w:eastAsia="仿宋" w:cs="仿宋"/>
          <w:color w:val="auto"/>
          <w:highlight w:val="none"/>
          <w:lang w:val="en-US" w:eastAsia="zh-CN"/>
        </w:rPr>
      </w:pPr>
      <w:r>
        <w:rPr>
          <w:rStyle w:val="327"/>
          <w:rFonts w:hint="eastAsia" w:ascii="仿宋" w:hAnsi="仿宋" w:eastAsia="仿宋" w:cs="仿宋"/>
          <w:color w:val="auto"/>
          <w:highlight w:val="none"/>
          <w:lang w:val="en-US" w:eastAsia="zh-CN"/>
        </w:rPr>
        <w:t>四、售后服务及培训要求</w:t>
      </w:r>
    </w:p>
    <w:p>
      <w:pPr>
        <w:spacing w:line="520" w:lineRule="exac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1.本</w:t>
      </w:r>
      <w:r>
        <w:rPr>
          <w:rFonts w:hint="eastAsia" w:ascii="仿宋" w:hAnsi="仿宋" w:eastAsia="仿宋" w:cs="仿宋"/>
          <w:color w:val="auto"/>
          <w:kern w:val="0"/>
          <w:sz w:val="24"/>
          <w:szCs w:val="24"/>
          <w:highlight w:val="none"/>
          <w:lang w:val="en-US" w:eastAsia="zh-CN"/>
        </w:rPr>
        <w:t>项目</w:t>
      </w:r>
      <w:r>
        <w:rPr>
          <w:rFonts w:hint="eastAsia" w:ascii="仿宋" w:hAnsi="仿宋" w:eastAsia="仿宋" w:cs="仿宋"/>
          <w:color w:val="auto"/>
          <w:kern w:val="0"/>
          <w:sz w:val="24"/>
          <w:szCs w:val="24"/>
          <w:highlight w:val="none"/>
        </w:rPr>
        <w:t>保修期为自货物验收合格之日起</w:t>
      </w:r>
      <w:r>
        <w:rPr>
          <w:rFonts w:hint="eastAsia" w:ascii="仿宋" w:hAnsi="仿宋" w:eastAsia="仿宋" w:cs="仿宋"/>
          <w:color w:val="auto"/>
          <w:kern w:val="0"/>
          <w:sz w:val="24"/>
          <w:szCs w:val="24"/>
          <w:highlight w:val="none"/>
          <w:lang w:val="en-US" w:eastAsia="zh-CN"/>
        </w:rPr>
        <w:t>不少于</w:t>
      </w:r>
      <w:r>
        <w:rPr>
          <w:rFonts w:hint="eastAsia" w:ascii="仿宋" w:hAnsi="仿宋" w:eastAsia="仿宋" w:cs="仿宋"/>
          <w:color w:val="auto"/>
          <w:kern w:val="0"/>
          <w:sz w:val="24"/>
          <w:szCs w:val="24"/>
          <w:highlight w:val="none"/>
        </w:rPr>
        <w:t>12个月，在此期间凡供应商对本项目中所有设备、配件、辅件在到货检查及免费质保期内出现故障等情形必须按同型号无偿更换；</w:t>
      </w:r>
    </w:p>
    <w:p>
      <w:pPr>
        <w:spacing w:line="520" w:lineRule="exac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lang w:val="en-US" w:eastAsia="zh-CN"/>
        </w:rPr>
        <w:t>中标人须</w:t>
      </w:r>
      <w:r>
        <w:rPr>
          <w:rFonts w:hint="eastAsia" w:ascii="仿宋" w:hAnsi="仿宋" w:eastAsia="仿宋" w:cs="仿宋"/>
          <w:color w:val="auto"/>
          <w:kern w:val="0"/>
          <w:sz w:val="24"/>
          <w:szCs w:val="24"/>
          <w:highlight w:val="none"/>
        </w:rPr>
        <w:t>提供所配备的专职维修工程师信息，并承诺在艇质保周期内提供免费的技术支持服务，有效保证艇的各项售后维修服务；</w:t>
      </w:r>
    </w:p>
    <w:p>
      <w:pPr>
        <w:spacing w:line="520" w:lineRule="exac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r>
        <w:rPr>
          <w:rFonts w:hint="eastAsia" w:ascii="仿宋" w:hAnsi="仿宋" w:eastAsia="仿宋" w:cs="仿宋"/>
          <w:color w:val="auto"/>
          <w:kern w:val="0"/>
          <w:sz w:val="24"/>
          <w:szCs w:val="24"/>
          <w:highlight w:val="none"/>
          <w:lang w:val="en-US" w:eastAsia="zh-CN"/>
        </w:rPr>
        <w:t>中标人</w:t>
      </w:r>
      <w:r>
        <w:rPr>
          <w:rFonts w:hint="eastAsia" w:ascii="仿宋" w:hAnsi="仿宋" w:eastAsia="仿宋" w:cs="仿宋"/>
          <w:color w:val="auto"/>
          <w:kern w:val="0"/>
          <w:sz w:val="24"/>
          <w:szCs w:val="24"/>
          <w:highlight w:val="none"/>
        </w:rPr>
        <w:t>必须提供原厂</w:t>
      </w:r>
      <w:r>
        <w:rPr>
          <w:rFonts w:hint="eastAsia" w:ascii="仿宋" w:hAnsi="仿宋" w:eastAsia="仿宋" w:cs="仿宋"/>
          <w:color w:val="auto"/>
          <w:kern w:val="0"/>
          <w:sz w:val="24"/>
          <w:szCs w:val="24"/>
          <w:highlight w:val="none"/>
          <w:lang w:val="en-US" w:eastAsia="zh-CN"/>
        </w:rPr>
        <w:t>1年</w:t>
      </w:r>
      <w:r>
        <w:rPr>
          <w:rFonts w:hint="eastAsia" w:ascii="仿宋" w:hAnsi="仿宋" w:eastAsia="仿宋" w:cs="仿宋"/>
          <w:color w:val="auto"/>
          <w:kern w:val="0"/>
          <w:sz w:val="24"/>
          <w:szCs w:val="24"/>
          <w:highlight w:val="none"/>
        </w:rPr>
        <w:t>维护，7*24小时支持维护响应。在艇使用周期内故障，在接到报修电话后维修技术人员24小时内到达，48小时内排除故障。如不能修复，在免费质保期内，供应商必须免费提供同种规格的配件进行更换，如不能提供同种规格型号的配件，用其他型号配件代替时，需经采购人同意且不补差价，否则采购人将自行采取必要的措施，由此产生的风险和费用应由供应商承担；</w:t>
      </w:r>
    </w:p>
    <w:p>
      <w:pPr>
        <w:spacing w:line="520" w:lineRule="exact"/>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4.</w:t>
      </w:r>
      <w:r>
        <w:rPr>
          <w:rFonts w:hint="eastAsia" w:ascii="仿宋" w:hAnsi="仿宋" w:eastAsia="仿宋" w:cs="仿宋"/>
          <w:color w:val="auto"/>
          <w:kern w:val="0"/>
          <w:sz w:val="24"/>
          <w:szCs w:val="24"/>
          <w:highlight w:val="none"/>
          <w:lang w:val="en-US" w:eastAsia="zh-CN"/>
        </w:rPr>
        <w:t>中标人</w:t>
      </w:r>
      <w:r>
        <w:rPr>
          <w:rFonts w:hint="eastAsia" w:ascii="仿宋" w:hAnsi="仿宋" w:eastAsia="仿宋" w:cs="仿宋"/>
          <w:color w:val="auto"/>
          <w:kern w:val="0"/>
          <w:sz w:val="24"/>
          <w:szCs w:val="24"/>
          <w:highlight w:val="none"/>
        </w:rPr>
        <w:t>免费提供对采购人使用人员的培训，保证采购人能正确使用艇，并达到掌握日常保养和维护的技能，招标文件中需明确具体培训内容，并列明培训人数、时间及达到的效果。</w:t>
      </w:r>
    </w:p>
    <w:p>
      <w:pPr>
        <w:spacing w:line="52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四、交货时间、地点</w:t>
      </w:r>
    </w:p>
    <w:p>
      <w:pPr>
        <w:spacing w:line="52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1.交货时间：合同签订之日起</w:t>
      </w:r>
      <w:r>
        <w:rPr>
          <w:rFonts w:hint="eastAsia" w:ascii="仿宋" w:hAnsi="仿宋" w:eastAsia="仿宋" w:cs="仿宋"/>
          <w:color w:val="auto"/>
          <w:sz w:val="24"/>
          <w:szCs w:val="24"/>
          <w:highlight w:val="none"/>
          <w:lang w:val="en-US" w:eastAsia="zh-CN"/>
        </w:rPr>
        <w:t>100</w:t>
      </w:r>
      <w:r>
        <w:rPr>
          <w:rFonts w:hint="eastAsia" w:ascii="仿宋" w:hAnsi="仿宋" w:eastAsia="仿宋" w:cs="仿宋"/>
          <w:color w:val="auto"/>
          <w:sz w:val="24"/>
          <w:szCs w:val="24"/>
          <w:highlight w:val="none"/>
        </w:rPr>
        <w:t>日历天内完成船艇设计、报批、建造、配套安装、交货、试航及验收，并且提供船舶检验证书和其他应提供的相关材料</w:t>
      </w:r>
      <w:r>
        <w:rPr>
          <w:rFonts w:hint="eastAsia" w:ascii="仿宋" w:hAnsi="仿宋" w:eastAsia="仿宋" w:cs="仿宋"/>
          <w:color w:val="auto"/>
          <w:sz w:val="24"/>
          <w:szCs w:val="24"/>
          <w:highlight w:val="none"/>
          <w:lang w:eastAsia="zh-CN"/>
        </w:rPr>
        <w:t>。</w:t>
      </w:r>
    </w:p>
    <w:p>
      <w:pPr>
        <w:spacing w:line="5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2.交货地点：</w:t>
      </w:r>
      <w:r>
        <w:rPr>
          <w:rFonts w:hint="eastAsia" w:ascii="仿宋" w:hAnsi="仿宋" w:eastAsia="仿宋" w:cs="仿宋"/>
          <w:color w:val="auto"/>
          <w:sz w:val="24"/>
          <w:highlight w:val="none"/>
        </w:rPr>
        <w:t>淳安县境内（采购人指定位置）</w:t>
      </w:r>
      <w:r>
        <w:rPr>
          <w:rFonts w:hint="eastAsia" w:ascii="仿宋" w:hAnsi="仿宋" w:eastAsia="仿宋" w:cs="仿宋"/>
          <w:color w:val="auto"/>
          <w:sz w:val="24"/>
          <w:szCs w:val="24"/>
          <w:highlight w:val="none"/>
        </w:rPr>
        <w:t>。</w:t>
      </w:r>
    </w:p>
    <w:p>
      <w:pPr>
        <w:spacing w:line="520" w:lineRule="exact"/>
        <w:ind w:firstLine="281" w:firstLineChars="100"/>
        <w:rPr>
          <w:rStyle w:val="327"/>
          <w:rFonts w:hint="eastAsia" w:ascii="仿宋" w:hAnsi="仿宋" w:eastAsia="仿宋" w:cs="仿宋"/>
          <w:color w:val="auto"/>
          <w:highlight w:val="none"/>
          <w:lang w:val="en-US" w:eastAsia="zh-CN"/>
        </w:rPr>
      </w:pPr>
      <w:r>
        <w:rPr>
          <w:rStyle w:val="327"/>
          <w:rFonts w:hint="eastAsia" w:ascii="仿宋" w:hAnsi="仿宋" w:eastAsia="仿宋" w:cs="仿宋"/>
          <w:color w:val="auto"/>
          <w:highlight w:val="none"/>
          <w:lang w:val="en-US" w:eastAsia="zh-CN"/>
        </w:rPr>
        <w:t>五、付款方式：</w:t>
      </w:r>
    </w:p>
    <w:p>
      <w:pPr>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合同签订后7天内支付合同总价40%预付款；船体建造完成后并通过建造地船检部门完成各项试验试航，检验合格并交付后，支付合同价的55％。</w:t>
      </w:r>
      <w:r>
        <w:rPr>
          <w:rFonts w:hint="eastAsia" w:ascii="仿宋" w:hAnsi="仿宋" w:eastAsia="仿宋" w:cs="仿宋"/>
          <w:color w:val="auto"/>
          <w:sz w:val="24"/>
          <w:highlight w:val="none"/>
          <w:lang w:eastAsia="zh-CN"/>
        </w:rPr>
        <w:t>剩余合同款的5%待中标方承诺的质保期满无质量问题</w:t>
      </w:r>
      <w:r>
        <w:rPr>
          <w:rFonts w:hint="eastAsia" w:ascii="仿宋" w:hAnsi="仿宋" w:eastAsia="仿宋" w:cs="仿宋"/>
          <w:color w:val="auto"/>
          <w:sz w:val="24"/>
          <w:highlight w:val="none"/>
          <w:lang w:val="en-US" w:eastAsia="zh-CN"/>
        </w:rPr>
        <w:t>后</w:t>
      </w:r>
      <w:r>
        <w:rPr>
          <w:rFonts w:hint="eastAsia" w:ascii="仿宋" w:hAnsi="仿宋" w:eastAsia="仿宋" w:cs="仿宋"/>
          <w:color w:val="auto"/>
          <w:sz w:val="24"/>
          <w:highlight w:val="none"/>
          <w:lang w:eastAsia="zh-CN"/>
        </w:rPr>
        <w:t>支付（无息）。</w:t>
      </w:r>
    </w:p>
    <w:p>
      <w:pPr>
        <w:pStyle w:val="61"/>
        <w:rPr>
          <w:rFonts w:hint="eastAsia" w:ascii="仿宋" w:hAnsi="仿宋" w:eastAsia="仿宋" w:cs="仿宋"/>
          <w:color w:val="auto"/>
        </w:rPr>
      </w:pPr>
    </w:p>
    <w:p>
      <w:pPr>
        <w:pStyle w:val="4"/>
        <w:rPr>
          <w:rFonts w:hint="eastAsia" w:ascii="仿宋" w:hAnsi="仿宋" w:eastAsia="仿宋" w:cs="仿宋"/>
          <w:b/>
          <w:color w:val="auto"/>
          <w:sz w:val="36"/>
          <w:szCs w:val="36"/>
        </w:rPr>
      </w:pPr>
    </w:p>
    <w:p>
      <w:pPr>
        <w:rPr>
          <w:rFonts w:hint="eastAsia" w:ascii="仿宋" w:hAnsi="仿宋" w:eastAsia="仿宋" w:cs="仿宋"/>
          <w:b/>
          <w:color w:val="auto"/>
          <w:sz w:val="36"/>
          <w:szCs w:val="36"/>
        </w:rPr>
      </w:pPr>
    </w:p>
    <w:p>
      <w:pPr>
        <w:pStyle w:val="3"/>
        <w:rPr>
          <w:rFonts w:hint="eastAsia" w:ascii="仿宋" w:hAnsi="仿宋" w:eastAsia="仿宋" w:cs="仿宋"/>
          <w:b/>
          <w:color w:val="auto"/>
          <w:sz w:val="36"/>
          <w:szCs w:val="36"/>
        </w:rPr>
      </w:pPr>
    </w:p>
    <w:p>
      <w:pPr>
        <w:pStyle w:val="2"/>
        <w:rPr>
          <w:rFonts w:hint="eastAsia" w:ascii="仿宋" w:hAnsi="仿宋" w:eastAsia="仿宋" w:cs="仿宋"/>
          <w:b/>
          <w:color w:val="auto"/>
          <w:sz w:val="36"/>
          <w:szCs w:val="36"/>
        </w:rPr>
      </w:pPr>
    </w:p>
    <w:p>
      <w:pPr>
        <w:pStyle w:val="4"/>
        <w:rPr>
          <w:rFonts w:hint="eastAsia" w:ascii="仿宋" w:hAnsi="仿宋" w:eastAsia="仿宋" w:cs="仿宋"/>
          <w:b/>
          <w:color w:val="auto"/>
          <w:sz w:val="36"/>
          <w:szCs w:val="36"/>
        </w:rPr>
      </w:pPr>
    </w:p>
    <w:p>
      <w:pPr>
        <w:rPr>
          <w:rFonts w:hint="eastAsia" w:ascii="仿宋" w:hAnsi="仿宋" w:eastAsia="仿宋" w:cs="仿宋"/>
          <w:b/>
          <w:color w:val="auto"/>
          <w:sz w:val="36"/>
          <w:szCs w:val="36"/>
        </w:rPr>
      </w:pPr>
    </w:p>
    <w:p>
      <w:pPr>
        <w:pStyle w:val="79"/>
        <w:rPr>
          <w:rFonts w:hint="eastAsia" w:ascii="仿宋" w:hAnsi="仿宋" w:eastAsia="仿宋" w:cs="仿宋"/>
          <w:b/>
          <w:color w:val="auto"/>
          <w:sz w:val="36"/>
          <w:szCs w:val="36"/>
        </w:rPr>
      </w:pPr>
    </w:p>
    <w:p>
      <w:pPr>
        <w:pStyle w:val="79"/>
        <w:rPr>
          <w:rFonts w:hint="eastAsia" w:ascii="仿宋" w:hAnsi="仿宋" w:eastAsia="仿宋" w:cs="仿宋"/>
          <w:b/>
          <w:color w:val="auto"/>
          <w:sz w:val="36"/>
          <w:szCs w:val="36"/>
        </w:rPr>
      </w:pPr>
    </w:p>
    <w:p>
      <w:pPr>
        <w:pStyle w:val="79"/>
        <w:rPr>
          <w:rFonts w:hint="eastAsia" w:ascii="仿宋" w:hAnsi="仿宋" w:eastAsia="仿宋" w:cs="仿宋"/>
          <w:b/>
          <w:color w:val="auto"/>
          <w:sz w:val="36"/>
          <w:szCs w:val="36"/>
        </w:rPr>
      </w:pPr>
    </w:p>
    <w:p>
      <w:pPr>
        <w:pStyle w:val="4"/>
        <w:rPr>
          <w:rFonts w:hint="eastAsia" w:ascii="仿宋" w:hAnsi="仿宋" w:eastAsia="仿宋" w:cs="仿宋"/>
          <w:color w:val="auto"/>
        </w:rPr>
      </w:pPr>
    </w:p>
    <w:p>
      <w:pPr>
        <w:spacing w:line="36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 xml:space="preserve">第四部分   </w:t>
      </w:r>
      <w:bookmarkStart w:id="30" w:name="_Toc184310280"/>
      <w:bookmarkEnd w:id="30"/>
      <w:bookmarkStart w:id="31" w:name="_Toc184310282"/>
      <w:bookmarkEnd w:id="31"/>
      <w:bookmarkStart w:id="32" w:name="_Toc184312128"/>
      <w:bookmarkEnd w:id="32"/>
      <w:bookmarkStart w:id="33" w:name="_Toc184313250"/>
      <w:bookmarkEnd w:id="33"/>
      <w:bookmarkStart w:id="34" w:name="_Toc184313298"/>
      <w:bookmarkEnd w:id="34"/>
      <w:bookmarkStart w:id="35" w:name="_Toc184313276"/>
      <w:bookmarkEnd w:id="35"/>
      <w:bookmarkStart w:id="36" w:name="_Toc184312113"/>
      <w:bookmarkEnd w:id="36"/>
      <w:bookmarkStart w:id="37" w:name="_Toc184313269"/>
      <w:bookmarkEnd w:id="37"/>
      <w:bookmarkStart w:id="38" w:name="_Toc184310302"/>
      <w:bookmarkEnd w:id="38"/>
      <w:bookmarkStart w:id="39" w:name="_Toc184308059"/>
      <w:bookmarkEnd w:id="39"/>
      <w:bookmarkStart w:id="40" w:name="_Toc184313274"/>
      <w:bookmarkEnd w:id="40"/>
      <w:bookmarkStart w:id="41" w:name="_Toc184313264"/>
      <w:bookmarkEnd w:id="41"/>
      <w:bookmarkStart w:id="42" w:name="_Toc184310281"/>
      <w:bookmarkEnd w:id="42"/>
      <w:bookmarkStart w:id="43" w:name="_Toc184313283"/>
      <w:bookmarkEnd w:id="43"/>
      <w:bookmarkStart w:id="44" w:name="_Toc184308077"/>
      <w:bookmarkEnd w:id="44"/>
      <w:bookmarkStart w:id="45" w:name="_Toc184312118"/>
      <w:bookmarkEnd w:id="45"/>
      <w:bookmarkStart w:id="46" w:name="_Toc184313285"/>
      <w:bookmarkEnd w:id="46"/>
      <w:bookmarkStart w:id="47" w:name="_Toc184312115"/>
      <w:bookmarkEnd w:id="47"/>
      <w:bookmarkStart w:id="48" w:name="_Toc184308050"/>
      <w:bookmarkEnd w:id="48"/>
      <w:bookmarkStart w:id="49" w:name="_Toc184314419"/>
      <w:bookmarkEnd w:id="49"/>
      <w:bookmarkStart w:id="50" w:name="_Toc184312138"/>
      <w:bookmarkEnd w:id="50"/>
      <w:bookmarkStart w:id="51" w:name="_Toc184308082"/>
      <w:bookmarkEnd w:id="51"/>
      <w:bookmarkStart w:id="52" w:name="_Toc184308085"/>
      <w:bookmarkEnd w:id="52"/>
      <w:bookmarkStart w:id="53" w:name="_Toc184310304"/>
      <w:bookmarkEnd w:id="53"/>
      <w:bookmarkStart w:id="54" w:name="_Toc184314418"/>
      <w:bookmarkEnd w:id="54"/>
      <w:bookmarkStart w:id="55" w:name="_Toc184308070"/>
      <w:bookmarkEnd w:id="55"/>
      <w:bookmarkStart w:id="56" w:name="_Toc184308100"/>
      <w:bookmarkEnd w:id="56"/>
      <w:bookmarkStart w:id="57" w:name="_Toc184313286"/>
      <w:bookmarkEnd w:id="57"/>
      <w:bookmarkStart w:id="58" w:name="_Toc184312071"/>
      <w:bookmarkEnd w:id="58"/>
      <w:bookmarkStart w:id="59" w:name="_Toc184314463"/>
      <w:bookmarkEnd w:id="59"/>
      <w:bookmarkStart w:id="60" w:name="_Toc184314441"/>
      <w:bookmarkEnd w:id="60"/>
      <w:bookmarkStart w:id="61" w:name="_Toc184314415"/>
      <w:bookmarkEnd w:id="61"/>
      <w:bookmarkStart w:id="62" w:name="_Toc184313267"/>
      <w:bookmarkEnd w:id="62"/>
      <w:bookmarkStart w:id="63" w:name="_Toc184313261"/>
      <w:bookmarkEnd w:id="63"/>
      <w:bookmarkStart w:id="64" w:name="_Toc184314472"/>
      <w:bookmarkEnd w:id="64"/>
      <w:bookmarkStart w:id="65" w:name="_Toc184308086"/>
      <w:bookmarkEnd w:id="65"/>
      <w:bookmarkStart w:id="66" w:name="_Toc184312104"/>
      <w:bookmarkEnd w:id="66"/>
      <w:bookmarkStart w:id="67" w:name="_Toc184308106"/>
      <w:bookmarkEnd w:id="67"/>
      <w:bookmarkStart w:id="68" w:name="_Toc184314474"/>
      <w:bookmarkEnd w:id="68"/>
      <w:bookmarkStart w:id="69" w:name="_Toc184313309"/>
      <w:bookmarkEnd w:id="69"/>
      <w:bookmarkStart w:id="70" w:name="_Toc184312108"/>
      <w:bookmarkEnd w:id="70"/>
      <w:bookmarkStart w:id="71" w:name="_Toc184313288"/>
      <w:bookmarkEnd w:id="71"/>
      <w:bookmarkStart w:id="72" w:name="_Toc184312135"/>
      <w:bookmarkEnd w:id="72"/>
      <w:bookmarkStart w:id="73" w:name="_Toc184313259"/>
      <w:bookmarkEnd w:id="73"/>
      <w:bookmarkStart w:id="74" w:name="_Toc184314412"/>
      <w:bookmarkEnd w:id="74"/>
      <w:bookmarkStart w:id="75" w:name="_Toc184310289"/>
      <w:bookmarkEnd w:id="75"/>
      <w:bookmarkStart w:id="76" w:name="_Toc184313282"/>
      <w:bookmarkEnd w:id="76"/>
      <w:bookmarkStart w:id="77" w:name="_Toc184314477"/>
      <w:bookmarkEnd w:id="77"/>
      <w:bookmarkStart w:id="78" w:name="_Toc184308046"/>
      <w:bookmarkEnd w:id="78"/>
      <w:bookmarkStart w:id="79" w:name="_Toc184312103"/>
      <w:bookmarkEnd w:id="79"/>
      <w:bookmarkStart w:id="80" w:name="_Toc184314429"/>
      <w:bookmarkEnd w:id="80"/>
      <w:bookmarkStart w:id="81" w:name="_Toc184314411"/>
      <w:bookmarkEnd w:id="81"/>
      <w:bookmarkStart w:id="82" w:name="_Toc184313280"/>
      <w:bookmarkEnd w:id="82"/>
      <w:bookmarkStart w:id="83" w:name="_Toc184314456"/>
      <w:bookmarkEnd w:id="83"/>
      <w:bookmarkStart w:id="84" w:name="_Toc184310284"/>
      <w:bookmarkEnd w:id="84"/>
      <w:bookmarkStart w:id="85" w:name="_Toc184314438"/>
      <w:bookmarkEnd w:id="85"/>
      <w:bookmarkStart w:id="86" w:name="_Toc184313301"/>
      <w:bookmarkEnd w:id="86"/>
      <w:bookmarkStart w:id="87" w:name="_Toc184310297"/>
      <w:bookmarkEnd w:id="87"/>
      <w:bookmarkStart w:id="88" w:name="_Toc184314471"/>
      <w:bookmarkEnd w:id="88"/>
      <w:bookmarkStart w:id="89" w:name="_Toc184310278"/>
      <w:bookmarkEnd w:id="89"/>
      <w:bookmarkStart w:id="90" w:name="_Toc184312085"/>
      <w:bookmarkEnd w:id="90"/>
      <w:bookmarkStart w:id="91" w:name="_Toc184310285"/>
      <w:bookmarkEnd w:id="91"/>
      <w:bookmarkStart w:id="92" w:name="_Toc184312084"/>
      <w:bookmarkEnd w:id="92"/>
      <w:bookmarkStart w:id="93" w:name="_Toc184310343"/>
      <w:bookmarkEnd w:id="93"/>
      <w:bookmarkStart w:id="94" w:name="_Toc184313239"/>
      <w:bookmarkEnd w:id="94"/>
      <w:bookmarkStart w:id="95" w:name="_Toc184308041"/>
      <w:bookmarkEnd w:id="95"/>
      <w:bookmarkStart w:id="96" w:name="_Toc184308042"/>
      <w:bookmarkEnd w:id="96"/>
      <w:bookmarkStart w:id="97" w:name="_Toc184310301"/>
      <w:bookmarkEnd w:id="97"/>
      <w:bookmarkStart w:id="98" w:name="_Toc184312086"/>
      <w:bookmarkEnd w:id="98"/>
      <w:bookmarkStart w:id="99" w:name="_Toc184313307"/>
      <w:bookmarkEnd w:id="99"/>
      <w:bookmarkStart w:id="100" w:name="_Toc184310337"/>
      <w:bookmarkEnd w:id="100"/>
      <w:bookmarkStart w:id="101" w:name="_Toc184310300"/>
      <w:bookmarkEnd w:id="101"/>
      <w:bookmarkStart w:id="102" w:name="_Toc184310329"/>
      <w:bookmarkEnd w:id="102"/>
      <w:bookmarkStart w:id="103" w:name="_Toc184314479"/>
      <w:bookmarkEnd w:id="103"/>
      <w:bookmarkStart w:id="104" w:name="_Toc184312092"/>
      <w:bookmarkEnd w:id="104"/>
      <w:bookmarkStart w:id="105" w:name="_Toc184314433"/>
      <w:bookmarkEnd w:id="105"/>
      <w:bookmarkStart w:id="106" w:name="_Toc184308101"/>
      <w:bookmarkEnd w:id="106"/>
      <w:bookmarkStart w:id="107" w:name="_Toc184313306"/>
      <w:bookmarkEnd w:id="107"/>
      <w:bookmarkStart w:id="108" w:name="_Toc184313266"/>
      <w:bookmarkEnd w:id="108"/>
      <w:bookmarkStart w:id="109" w:name="_Toc184310344"/>
      <w:bookmarkEnd w:id="109"/>
      <w:bookmarkStart w:id="110" w:name="_Toc184312078"/>
      <w:bookmarkEnd w:id="110"/>
      <w:bookmarkStart w:id="111" w:name="_Toc184314459"/>
      <w:bookmarkEnd w:id="111"/>
      <w:bookmarkStart w:id="112" w:name="_Toc184312139"/>
      <w:bookmarkEnd w:id="112"/>
      <w:bookmarkStart w:id="113" w:name="_Toc184308091"/>
      <w:bookmarkEnd w:id="113"/>
      <w:bookmarkStart w:id="114" w:name="_Toc184312110"/>
      <w:bookmarkEnd w:id="114"/>
      <w:bookmarkStart w:id="115" w:name="_Toc184312101"/>
      <w:bookmarkEnd w:id="115"/>
      <w:bookmarkStart w:id="116" w:name="_Toc184310316"/>
      <w:bookmarkEnd w:id="116"/>
      <w:bookmarkStart w:id="117" w:name="_Toc184312121"/>
      <w:bookmarkEnd w:id="117"/>
      <w:bookmarkStart w:id="118" w:name="_Toc184312072"/>
      <w:bookmarkEnd w:id="118"/>
      <w:bookmarkStart w:id="119" w:name="_Toc184308053"/>
      <w:bookmarkEnd w:id="119"/>
      <w:bookmarkStart w:id="120" w:name="_Toc184310333"/>
      <w:bookmarkEnd w:id="120"/>
      <w:bookmarkStart w:id="121" w:name="_Toc184308108"/>
      <w:bookmarkEnd w:id="121"/>
      <w:bookmarkStart w:id="122" w:name="_Toc184314461"/>
      <w:bookmarkEnd w:id="122"/>
      <w:bookmarkStart w:id="123" w:name="_Toc184314420"/>
      <w:bookmarkEnd w:id="123"/>
      <w:bookmarkStart w:id="124" w:name="_Toc184312109"/>
      <w:bookmarkEnd w:id="124"/>
      <w:bookmarkStart w:id="125" w:name="_Toc184308038"/>
      <w:bookmarkEnd w:id="125"/>
      <w:bookmarkStart w:id="126" w:name="_Toc184308090"/>
      <w:bookmarkEnd w:id="126"/>
      <w:bookmarkStart w:id="127" w:name="_Toc184314442"/>
      <w:bookmarkEnd w:id="127"/>
      <w:bookmarkStart w:id="128" w:name="_Toc184308045"/>
      <w:bookmarkEnd w:id="128"/>
      <w:bookmarkStart w:id="129" w:name="_Toc184310303"/>
      <w:bookmarkEnd w:id="129"/>
      <w:bookmarkStart w:id="130" w:name="_Toc184310311"/>
      <w:bookmarkEnd w:id="130"/>
      <w:bookmarkStart w:id="131" w:name="_Toc184312123"/>
      <w:bookmarkEnd w:id="131"/>
      <w:bookmarkStart w:id="132" w:name="_Toc184312077"/>
      <w:bookmarkEnd w:id="132"/>
      <w:bookmarkStart w:id="133" w:name="_Toc184313249"/>
      <w:bookmarkEnd w:id="133"/>
      <w:bookmarkStart w:id="134" w:name="_Toc184310292"/>
      <w:bookmarkEnd w:id="134"/>
      <w:bookmarkStart w:id="135" w:name="_Toc184310306"/>
      <w:bookmarkEnd w:id="135"/>
      <w:bookmarkStart w:id="136" w:name="_Toc184308062"/>
      <w:bookmarkEnd w:id="136"/>
      <w:bookmarkStart w:id="137" w:name="_Toc184308078"/>
      <w:bookmarkEnd w:id="137"/>
      <w:bookmarkStart w:id="138" w:name="_Toc184314444"/>
      <w:bookmarkEnd w:id="138"/>
      <w:bookmarkStart w:id="139" w:name="_Toc184308107"/>
      <w:bookmarkEnd w:id="139"/>
      <w:bookmarkStart w:id="140" w:name="_Toc184310331"/>
      <w:bookmarkEnd w:id="140"/>
      <w:bookmarkStart w:id="141" w:name="_Toc184308056"/>
      <w:bookmarkEnd w:id="141"/>
      <w:bookmarkStart w:id="142" w:name="_Toc184313273"/>
      <w:bookmarkEnd w:id="142"/>
      <w:bookmarkStart w:id="143" w:name="_Toc184312069"/>
      <w:bookmarkEnd w:id="143"/>
      <w:bookmarkStart w:id="144" w:name="_Toc184314417"/>
      <w:bookmarkEnd w:id="144"/>
      <w:bookmarkStart w:id="145" w:name="_Toc184313252"/>
      <w:bookmarkEnd w:id="145"/>
      <w:bookmarkStart w:id="146" w:name="_Toc184310335"/>
      <w:bookmarkEnd w:id="146"/>
      <w:bookmarkStart w:id="147" w:name="_Toc184314439"/>
      <w:bookmarkEnd w:id="147"/>
      <w:bookmarkStart w:id="148" w:name="_Toc184314421"/>
      <w:bookmarkEnd w:id="148"/>
      <w:bookmarkStart w:id="149" w:name="_Toc184308089"/>
      <w:bookmarkEnd w:id="149"/>
      <w:bookmarkStart w:id="150" w:name="_Toc184308071"/>
      <w:bookmarkEnd w:id="150"/>
      <w:bookmarkStart w:id="151" w:name="_Toc184310295"/>
      <w:bookmarkEnd w:id="151"/>
      <w:bookmarkStart w:id="152" w:name="_Toc184308055"/>
      <w:bookmarkEnd w:id="152"/>
      <w:bookmarkStart w:id="153" w:name="_Toc184313303"/>
      <w:bookmarkEnd w:id="153"/>
      <w:bookmarkStart w:id="154" w:name="_Toc184313277"/>
      <w:bookmarkEnd w:id="154"/>
      <w:bookmarkStart w:id="155" w:name="_Toc184310279"/>
      <w:bookmarkEnd w:id="155"/>
      <w:bookmarkStart w:id="156" w:name="_Toc184310275"/>
      <w:bookmarkEnd w:id="156"/>
      <w:bookmarkStart w:id="157" w:name="_Toc184310339"/>
      <w:bookmarkEnd w:id="157"/>
      <w:bookmarkStart w:id="158" w:name="_Toc184308075"/>
      <w:bookmarkEnd w:id="158"/>
      <w:bookmarkStart w:id="159" w:name="_Toc184312073"/>
      <w:bookmarkEnd w:id="159"/>
      <w:bookmarkStart w:id="160" w:name="_Toc184312095"/>
      <w:bookmarkEnd w:id="160"/>
      <w:bookmarkStart w:id="161" w:name="_Toc184310299"/>
      <w:bookmarkEnd w:id="161"/>
      <w:bookmarkStart w:id="162" w:name="_Toc184313275"/>
      <w:bookmarkEnd w:id="162"/>
      <w:bookmarkStart w:id="163" w:name="_Toc184313246"/>
      <w:bookmarkEnd w:id="163"/>
      <w:bookmarkStart w:id="164" w:name="_Toc184314457"/>
      <w:bookmarkEnd w:id="164"/>
      <w:bookmarkStart w:id="165" w:name="_Toc184312134"/>
      <w:bookmarkEnd w:id="165"/>
      <w:bookmarkStart w:id="166" w:name="_Toc184313262"/>
      <w:bookmarkEnd w:id="166"/>
      <w:bookmarkStart w:id="167" w:name="_Toc184308105"/>
      <w:bookmarkEnd w:id="167"/>
      <w:bookmarkStart w:id="168" w:name="_Toc184313284"/>
      <w:bookmarkEnd w:id="168"/>
      <w:bookmarkStart w:id="169" w:name="_Toc184314450"/>
      <w:bookmarkEnd w:id="169"/>
      <w:bookmarkStart w:id="170" w:name="_Toc184313304"/>
      <w:bookmarkEnd w:id="170"/>
      <w:bookmarkStart w:id="171" w:name="_Toc184314482"/>
      <w:bookmarkEnd w:id="171"/>
      <w:bookmarkStart w:id="172" w:name="_Toc184312099"/>
      <w:bookmarkEnd w:id="172"/>
      <w:bookmarkStart w:id="173" w:name="_Toc184308079"/>
      <w:bookmarkEnd w:id="173"/>
      <w:bookmarkStart w:id="174" w:name="_Toc184314435"/>
      <w:bookmarkEnd w:id="174"/>
      <w:bookmarkStart w:id="175" w:name="_Toc184312091"/>
      <w:bookmarkEnd w:id="175"/>
      <w:bookmarkStart w:id="176" w:name="_Toc184314413"/>
      <w:bookmarkEnd w:id="176"/>
      <w:bookmarkStart w:id="177" w:name="_Toc184312105"/>
      <w:bookmarkEnd w:id="177"/>
      <w:bookmarkStart w:id="178" w:name="_Toc184313289"/>
      <w:bookmarkEnd w:id="178"/>
      <w:bookmarkStart w:id="179" w:name="_Toc184310320"/>
      <w:bookmarkEnd w:id="179"/>
      <w:bookmarkStart w:id="180" w:name="_Toc184314447"/>
      <w:bookmarkEnd w:id="180"/>
      <w:bookmarkStart w:id="181" w:name="_Toc184314465"/>
      <w:bookmarkEnd w:id="181"/>
      <w:bookmarkStart w:id="182" w:name="_Toc184312120"/>
      <w:bookmarkEnd w:id="182"/>
      <w:bookmarkStart w:id="183" w:name="_Toc184313299"/>
      <w:bookmarkEnd w:id="183"/>
      <w:bookmarkStart w:id="184" w:name="_Toc184308043"/>
      <w:bookmarkEnd w:id="184"/>
      <w:bookmarkStart w:id="185" w:name="_Toc184308036"/>
      <w:bookmarkEnd w:id="185"/>
      <w:bookmarkStart w:id="186" w:name="_Toc184314454"/>
      <w:bookmarkEnd w:id="186"/>
      <w:bookmarkStart w:id="187" w:name="_Toc184313254"/>
      <w:bookmarkEnd w:id="187"/>
      <w:bookmarkStart w:id="188" w:name="_Toc184313265"/>
      <w:bookmarkEnd w:id="188"/>
      <w:bookmarkStart w:id="189" w:name="_Toc184313281"/>
      <w:bookmarkEnd w:id="189"/>
      <w:bookmarkStart w:id="190" w:name="_Toc184314462"/>
      <w:bookmarkEnd w:id="190"/>
      <w:bookmarkStart w:id="191" w:name="_Toc184314478"/>
      <w:bookmarkEnd w:id="191"/>
      <w:bookmarkStart w:id="192" w:name="_Toc184308044"/>
      <w:bookmarkEnd w:id="192"/>
      <w:bookmarkStart w:id="193" w:name="_Toc184308074"/>
      <w:bookmarkEnd w:id="193"/>
      <w:bookmarkStart w:id="194" w:name="_Toc184310314"/>
      <w:bookmarkEnd w:id="194"/>
      <w:bookmarkStart w:id="195" w:name="_Toc184310296"/>
      <w:bookmarkEnd w:id="195"/>
      <w:bookmarkStart w:id="196" w:name="_Toc184312068"/>
      <w:bookmarkEnd w:id="196"/>
      <w:bookmarkStart w:id="197" w:name="_Toc184313294"/>
      <w:bookmarkEnd w:id="197"/>
      <w:bookmarkStart w:id="198" w:name="_Toc184310340"/>
      <w:bookmarkEnd w:id="198"/>
      <w:bookmarkStart w:id="199" w:name="_Toc184314470"/>
      <w:bookmarkEnd w:id="199"/>
      <w:bookmarkStart w:id="200" w:name="_Toc184314453"/>
      <w:bookmarkEnd w:id="200"/>
      <w:bookmarkStart w:id="201" w:name="_Toc184313245"/>
      <w:bookmarkEnd w:id="201"/>
      <w:bookmarkStart w:id="202" w:name="_Toc184308049"/>
      <w:bookmarkEnd w:id="202"/>
      <w:bookmarkStart w:id="203" w:name="_Toc184310315"/>
      <w:bookmarkEnd w:id="203"/>
      <w:bookmarkStart w:id="204" w:name="_Toc184308097"/>
      <w:bookmarkEnd w:id="204"/>
      <w:bookmarkStart w:id="205" w:name="_Toc184310328"/>
      <w:bookmarkEnd w:id="205"/>
      <w:bookmarkStart w:id="206" w:name="_Toc184314416"/>
      <w:bookmarkEnd w:id="206"/>
      <w:bookmarkStart w:id="207" w:name="_Toc184313292"/>
      <w:bookmarkEnd w:id="207"/>
      <w:bookmarkStart w:id="208" w:name="_Toc184310286"/>
      <w:bookmarkEnd w:id="208"/>
      <w:bookmarkStart w:id="209" w:name="_Toc184308037"/>
      <w:bookmarkEnd w:id="209"/>
      <w:bookmarkStart w:id="210" w:name="_Toc184313305"/>
      <w:bookmarkEnd w:id="210"/>
      <w:bookmarkStart w:id="211" w:name="_Toc184312075"/>
      <w:bookmarkEnd w:id="211"/>
      <w:bookmarkStart w:id="212" w:name="_Toc184314460"/>
      <w:bookmarkEnd w:id="212"/>
      <w:bookmarkStart w:id="213" w:name="_Toc184310332"/>
      <w:bookmarkEnd w:id="213"/>
      <w:bookmarkStart w:id="214" w:name="_Toc184313310"/>
      <w:bookmarkEnd w:id="214"/>
      <w:bookmarkStart w:id="215" w:name="_Toc184310338"/>
      <w:bookmarkEnd w:id="215"/>
      <w:bookmarkStart w:id="216" w:name="_Toc184310305"/>
      <w:bookmarkEnd w:id="216"/>
      <w:bookmarkStart w:id="217" w:name="_Toc184314428"/>
      <w:bookmarkEnd w:id="217"/>
      <w:bookmarkStart w:id="218" w:name="_Toc184314434"/>
      <w:bookmarkEnd w:id="218"/>
      <w:bookmarkStart w:id="219" w:name="_Toc184308058"/>
      <w:bookmarkEnd w:id="219"/>
      <w:bookmarkStart w:id="220" w:name="_Toc184310327"/>
      <w:bookmarkEnd w:id="220"/>
      <w:bookmarkStart w:id="221" w:name="_Toc184308063"/>
      <w:bookmarkEnd w:id="221"/>
      <w:bookmarkStart w:id="222" w:name="_Toc184313256"/>
      <w:bookmarkEnd w:id="222"/>
      <w:bookmarkStart w:id="223" w:name="_Toc184312097"/>
      <w:bookmarkEnd w:id="223"/>
      <w:bookmarkStart w:id="224" w:name="_Toc184313248"/>
      <w:bookmarkEnd w:id="224"/>
      <w:bookmarkStart w:id="225" w:name="_Toc184312067"/>
      <w:bookmarkEnd w:id="225"/>
      <w:bookmarkStart w:id="226" w:name="_Toc184312082"/>
      <w:bookmarkEnd w:id="226"/>
      <w:bookmarkStart w:id="227" w:name="_Toc184314467"/>
      <w:bookmarkEnd w:id="227"/>
      <w:bookmarkStart w:id="228" w:name="_Toc184310294"/>
      <w:bookmarkEnd w:id="228"/>
      <w:bookmarkStart w:id="229" w:name="_Toc184314432"/>
      <w:bookmarkEnd w:id="229"/>
      <w:bookmarkStart w:id="230" w:name="_Toc184312107"/>
      <w:bookmarkEnd w:id="230"/>
      <w:bookmarkStart w:id="231" w:name="_Toc184314469"/>
      <w:bookmarkEnd w:id="231"/>
      <w:bookmarkStart w:id="232" w:name="_Toc184310325"/>
      <w:bookmarkEnd w:id="232"/>
      <w:bookmarkStart w:id="233" w:name="_Toc184310326"/>
      <w:bookmarkEnd w:id="233"/>
      <w:bookmarkStart w:id="234" w:name="_Toc184313238"/>
      <w:bookmarkEnd w:id="234"/>
      <w:bookmarkStart w:id="235" w:name="_Toc184312094"/>
      <w:bookmarkEnd w:id="235"/>
      <w:bookmarkStart w:id="236" w:name="_Toc184308083"/>
      <w:bookmarkEnd w:id="236"/>
      <w:bookmarkStart w:id="237" w:name="_Toc184313242"/>
      <w:bookmarkEnd w:id="237"/>
      <w:bookmarkStart w:id="238" w:name="_Toc184312122"/>
      <w:bookmarkEnd w:id="238"/>
      <w:bookmarkStart w:id="239" w:name="_Toc184314455"/>
      <w:bookmarkEnd w:id="239"/>
      <w:bookmarkStart w:id="240" w:name="_Toc184308093"/>
      <w:bookmarkEnd w:id="240"/>
      <w:bookmarkStart w:id="241" w:name="_Toc184314448"/>
      <w:bookmarkEnd w:id="241"/>
      <w:bookmarkStart w:id="242" w:name="_Toc184310276"/>
      <w:bookmarkEnd w:id="242"/>
      <w:bookmarkStart w:id="243" w:name="_Toc184314440"/>
      <w:bookmarkEnd w:id="243"/>
      <w:bookmarkStart w:id="244" w:name="_Toc184312130"/>
      <w:bookmarkEnd w:id="244"/>
      <w:bookmarkStart w:id="245" w:name="_Toc184310323"/>
      <w:bookmarkEnd w:id="245"/>
      <w:bookmarkStart w:id="246" w:name="_Toc184312131"/>
      <w:bookmarkEnd w:id="246"/>
      <w:bookmarkStart w:id="247" w:name="_Toc184310321"/>
      <w:bookmarkEnd w:id="247"/>
      <w:bookmarkStart w:id="248" w:name="_Toc184308073"/>
      <w:bookmarkEnd w:id="248"/>
      <w:bookmarkStart w:id="249" w:name="_Toc184312070"/>
      <w:bookmarkEnd w:id="249"/>
      <w:bookmarkStart w:id="250" w:name="_Toc184313270"/>
      <w:bookmarkEnd w:id="250"/>
      <w:bookmarkStart w:id="251" w:name="_Toc184310307"/>
      <w:bookmarkEnd w:id="251"/>
      <w:bookmarkStart w:id="252" w:name="_Toc184310334"/>
      <w:bookmarkEnd w:id="252"/>
      <w:bookmarkStart w:id="253" w:name="_Toc184312112"/>
      <w:bookmarkEnd w:id="253"/>
      <w:bookmarkStart w:id="254" w:name="_Toc184314473"/>
      <w:bookmarkEnd w:id="254"/>
      <w:bookmarkStart w:id="255" w:name="_Toc184312083"/>
      <w:bookmarkEnd w:id="255"/>
      <w:bookmarkStart w:id="256" w:name="_Toc184313293"/>
      <w:bookmarkEnd w:id="256"/>
      <w:bookmarkStart w:id="257" w:name="_Toc184308076"/>
      <w:bookmarkEnd w:id="257"/>
      <w:bookmarkStart w:id="258" w:name="_Toc184308104"/>
      <w:bookmarkEnd w:id="258"/>
      <w:bookmarkStart w:id="259" w:name="_Toc184308094"/>
      <w:bookmarkEnd w:id="259"/>
      <w:bookmarkStart w:id="260" w:name="_Toc184313247"/>
      <w:bookmarkEnd w:id="260"/>
      <w:bookmarkStart w:id="261" w:name="_Toc184310272"/>
      <w:bookmarkEnd w:id="261"/>
      <w:bookmarkStart w:id="262" w:name="_Toc184314476"/>
      <w:bookmarkEnd w:id="262"/>
      <w:bookmarkStart w:id="263" w:name="_Toc184308047"/>
      <w:bookmarkEnd w:id="263"/>
      <w:bookmarkStart w:id="264" w:name="_Toc184308064"/>
      <w:bookmarkEnd w:id="264"/>
      <w:bookmarkStart w:id="265" w:name="_Toc184310324"/>
      <w:bookmarkEnd w:id="265"/>
      <w:bookmarkStart w:id="266" w:name="_Toc184308048"/>
      <w:bookmarkEnd w:id="266"/>
      <w:bookmarkStart w:id="267" w:name="_Toc184314422"/>
      <w:bookmarkEnd w:id="267"/>
      <w:bookmarkStart w:id="268" w:name="_Toc184308065"/>
      <w:bookmarkEnd w:id="268"/>
      <w:bookmarkStart w:id="269" w:name="_Toc184313279"/>
      <w:bookmarkEnd w:id="269"/>
      <w:bookmarkStart w:id="270" w:name="_Toc184313263"/>
      <w:bookmarkEnd w:id="270"/>
      <w:bookmarkStart w:id="271" w:name="_Toc184312124"/>
      <w:bookmarkEnd w:id="271"/>
      <w:bookmarkStart w:id="272" w:name="_Toc184310298"/>
      <w:bookmarkEnd w:id="272"/>
      <w:bookmarkStart w:id="273" w:name="_Toc184314466"/>
      <w:bookmarkEnd w:id="273"/>
      <w:bookmarkStart w:id="274" w:name="_Toc184310287"/>
      <w:bookmarkEnd w:id="274"/>
      <w:bookmarkStart w:id="275" w:name="_Toc184312132"/>
      <w:bookmarkEnd w:id="275"/>
      <w:bookmarkStart w:id="276" w:name="_Toc184312136"/>
      <w:bookmarkEnd w:id="276"/>
      <w:bookmarkStart w:id="277" w:name="_Toc184312087"/>
      <w:bookmarkEnd w:id="277"/>
      <w:bookmarkStart w:id="278" w:name="_Toc184308103"/>
      <w:bookmarkEnd w:id="278"/>
      <w:bookmarkStart w:id="279" w:name="_Toc184310273"/>
      <w:bookmarkEnd w:id="279"/>
      <w:bookmarkStart w:id="280" w:name="_Toc184308072"/>
      <w:bookmarkEnd w:id="280"/>
      <w:bookmarkStart w:id="281" w:name="_Toc184312125"/>
      <w:bookmarkEnd w:id="281"/>
      <w:bookmarkStart w:id="282" w:name="_Toc184314414"/>
      <w:bookmarkEnd w:id="282"/>
      <w:bookmarkStart w:id="283" w:name="_Toc184313296"/>
      <w:bookmarkEnd w:id="283"/>
      <w:bookmarkStart w:id="284" w:name="_Toc184308080"/>
      <w:bookmarkEnd w:id="284"/>
      <w:bookmarkStart w:id="285" w:name="_Toc184310290"/>
      <w:bookmarkEnd w:id="285"/>
      <w:bookmarkStart w:id="286" w:name="_Toc184314458"/>
      <w:bookmarkEnd w:id="286"/>
      <w:bookmarkStart w:id="287" w:name="_Toc184308051"/>
      <w:bookmarkEnd w:id="287"/>
      <w:bookmarkStart w:id="288" w:name="_Toc184313240"/>
      <w:bookmarkEnd w:id="288"/>
      <w:bookmarkStart w:id="289" w:name="_Toc184313241"/>
      <w:bookmarkEnd w:id="289"/>
      <w:bookmarkStart w:id="290" w:name="_Toc184310274"/>
      <w:bookmarkEnd w:id="290"/>
      <w:bookmarkStart w:id="291" w:name="_Toc184312076"/>
      <w:bookmarkEnd w:id="291"/>
      <w:bookmarkStart w:id="292" w:name="_Toc184314468"/>
      <w:bookmarkEnd w:id="292"/>
      <w:bookmarkStart w:id="293" w:name="_Toc184308054"/>
      <w:bookmarkEnd w:id="293"/>
      <w:bookmarkStart w:id="294" w:name="_Toc184314424"/>
      <w:bookmarkEnd w:id="294"/>
      <w:bookmarkStart w:id="295" w:name="_Toc184314443"/>
      <w:bookmarkEnd w:id="295"/>
      <w:bookmarkStart w:id="296" w:name="_Toc184310293"/>
      <w:bookmarkEnd w:id="296"/>
      <w:bookmarkStart w:id="297" w:name="_Toc184312081"/>
      <w:bookmarkEnd w:id="297"/>
      <w:bookmarkStart w:id="298" w:name="_Toc184313302"/>
      <w:bookmarkEnd w:id="298"/>
      <w:bookmarkStart w:id="299" w:name="_Toc184312119"/>
      <w:bookmarkEnd w:id="299"/>
      <w:bookmarkStart w:id="300" w:name="_Toc184313251"/>
      <w:bookmarkEnd w:id="300"/>
      <w:bookmarkStart w:id="301" w:name="_Toc184312133"/>
      <w:bookmarkEnd w:id="301"/>
      <w:bookmarkStart w:id="302" w:name="_Toc184312117"/>
      <w:bookmarkEnd w:id="302"/>
      <w:bookmarkStart w:id="303" w:name="_Toc184313268"/>
      <w:bookmarkEnd w:id="303"/>
      <w:bookmarkStart w:id="304" w:name="_Toc184313260"/>
      <w:bookmarkEnd w:id="304"/>
      <w:bookmarkStart w:id="305" w:name="_Toc184314446"/>
      <w:bookmarkEnd w:id="305"/>
      <w:bookmarkStart w:id="306" w:name="_Toc184312137"/>
      <w:bookmarkEnd w:id="306"/>
      <w:bookmarkStart w:id="307" w:name="_Toc184308096"/>
      <w:bookmarkEnd w:id="307"/>
      <w:bookmarkStart w:id="308" w:name="_Toc184314423"/>
      <w:bookmarkEnd w:id="308"/>
      <w:bookmarkStart w:id="309" w:name="_Toc184313290"/>
      <w:bookmarkEnd w:id="309"/>
      <w:bookmarkStart w:id="310" w:name="_Toc184312100"/>
      <w:bookmarkEnd w:id="310"/>
      <w:bookmarkStart w:id="311" w:name="_Toc184308087"/>
      <w:bookmarkEnd w:id="311"/>
      <w:bookmarkStart w:id="312" w:name="_Toc184314436"/>
      <w:bookmarkEnd w:id="312"/>
      <w:bookmarkStart w:id="313" w:name="_Toc184310318"/>
      <w:bookmarkEnd w:id="313"/>
      <w:bookmarkStart w:id="314" w:name="_Toc184312127"/>
      <w:bookmarkEnd w:id="314"/>
      <w:bookmarkStart w:id="315" w:name="_Toc184310308"/>
      <w:bookmarkEnd w:id="315"/>
      <w:bookmarkStart w:id="316" w:name="_Toc184313297"/>
      <w:bookmarkEnd w:id="316"/>
      <w:bookmarkStart w:id="317" w:name="_Toc184310336"/>
      <w:bookmarkEnd w:id="317"/>
      <w:bookmarkStart w:id="318" w:name="_Toc184312074"/>
      <w:bookmarkEnd w:id="318"/>
      <w:bookmarkStart w:id="319" w:name="_Toc184313257"/>
      <w:bookmarkEnd w:id="319"/>
      <w:bookmarkStart w:id="320" w:name="_Toc184308061"/>
      <w:bookmarkEnd w:id="320"/>
      <w:bookmarkStart w:id="321" w:name="_Toc184312080"/>
      <w:bookmarkEnd w:id="321"/>
      <w:bookmarkStart w:id="322" w:name="_Toc184312096"/>
      <w:bookmarkEnd w:id="322"/>
      <w:bookmarkStart w:id="323" w:name="_Toc184308057"/>
      <w:bookmarkEnd w:id="323"/>
      <w:bookmarkStart w:id="324" w:name="_Toc184313308"/>
      <w:bookmarkEnd w:id="324"/>
      <w:bookmarkStart w:id="325" w:name="_Toc184312114"/>
      <w:bookmarkEnd w:id="325"/>
      <w:bookmarkStart w:id="326" w:name="_Toc184310330"/>
      <w:bookmarkEnd w:id="326"/>
      <w:bookmarkStart w:id="327" w:name="_Toc184314431"/>
      <w:bookmarkEnd w:id="327"/>
      <w:bookmarkStart w:id="328" w:name="_Toc184313278"/>
      <w:bookmarkEnd w:id="328"/>
      <w:bookmarkStart w:id="329" w:name="_Toc184312129"/>
      <w:bookmarkEnd w:id="329"/>
      <w:bookmarkStart w:id="330" w:name="_Toc184310342"/>
      <w:bookmarkEnd w:id="330"/>
      <w:bookmarkStart w:id="331" w:name="_Toc184310310"/>
      <w:bookmarkEnd w:id="331"/>
      <w:bookmarkStart w:id="332" w:name="_Toc184312089"/>
      <w:bookmarkEnd w:id="332"/>
      <w:bookmarkStart w:id="333" w:name="_Toc184308040"/>
      <w:bookmarkEnd w:id="333"/>
      <w:bookmarkStart w:id="334" w:name="_Toc184308066"/>
      <w:bookmarkEnd w:id="334"/>
      <w:bookmarkStart w:id="335" w:name="_Toc184308099"/>
      <w:bookmarkEnd w:id="335"/>
      <w:bookmarkStart w:id="336" w:name="_Toc184310291"/>
      <w:bookmarkEnd w:id="336"/>
      <w:bookmarkStart w:id="337" w:name="_Toc184314449"/>
      <w:bookmarkEnd w:id="337"/>
      <w:bookmarkStart w:id="338" w:name="_Toc184314437"/>
      <w:bookmarkEnd w:id="338"/>
      <w:bookmarkStart w:id="339" w:name="_Toc184312098"/>
      <w:bookmarkEnd w:id="339"/>
      <w:bookmarkStart w:id="340" w:name="_Toc184314452"/>
      <w:bookmarkEnd w:id="340"/>
      <w:bookmarkStart w:id="341" w:name="_Toc184313287"/>
      <w:bookmarkEnd w:id="341"/>
      <w:bookmarkStart w:id="342" w:name="_Toc184308068"/>
      <w:bookmarkEnd w:id="342"/>
      <w:bookmarkStart w:id="343" w:name="_Toc184308081"/>
      <w:bookmarkEnd w:id="343"/>
      <w:bookmarkStart w:id="344" w:name="_Toc184310283"/>
      <w:bookmarkEnd w:id="344"/>
      <w:bookmarkStart w:id="345" w:name="_Toc184310341"/>
      <w:bookmarkEnd w:id="345"/>
      <w:bookmarkStart w:id="346" w:name="_Toc184313243"/>
      <w:bookmarkEnd w:id="346"/>
      <w:bookmarkStart w:id="347" w:name="_Toc184313255"/>
      <w:bookmarkEnd w:id="347"/>
      <w:bookmarkStart w:id="348" w:name="_Toc184312111"/>
      <w:bookmarkEnd w:id="348"/>
      <w:bookmarkStart w:id="349" w:name="_Toc184308039"/>
      <w:bookmarkEnd w:id="349"/>
      <w:bookmarkStart w:id="350" w:name="_Toc184313271"/>
      <w:bookmarkEnd w:id="350"/>
      <w:bookmarkStart w:id="351" w:name="_Toc184314426"/>
      <w:bookmarkEnd w:id="351"/>
      <w:bookmarkStart w:id="352" w:name="_Toc184310322"/>
      <w:bookmarkEnd w:id="352"/>
      <w:bookmarkStart w:id="353" w:name="_Toc184313300"/>
      <w:bookmarkEnd w:id="353"/>
      <w:bookmarkStart w:id="354" w:name="_Toc184312102"/>
      <w:bookmarkEnd w:id="354"/>
      <w:bookmarkStart w:id="355" w:name="_Toc184308084"/>
      <w:bookmarkEnd w:id="355"/>
      <w:bookmarkStart w:id="356" w:name="_Toc184313272"/>
      <w:bookmarkEnd w:id="356"/>
      <w:bookmarkStart w:id="357" w:name="_Toc184312093"/>
      <w:bookmarkEnd w:id="357"/>
      <w:bookmarkStart w:id="358" w:name="_Toc184308067"/>
      <w:bookmarkEnd w:id="358"/>
      <w:bookmarkStart w:id="359" w:name="_Toc184310277"/>
      <w:bookmarkEnd w:id="359"/>
      <w:bookmarkStart w:id="360" w:name="_Toc184314481"/>
      <w:bookmarkEnd w:id="360"/>
      <w:bookmarkStart w:id="361" w:name="_Toc184310288"/>
      <w:bookmarkEnd w:id="361"/>
      <w:bookmarkStart w:id="362" w:name="_Toc184313258"/>
      <w:bookmarkEnd w:id="362"/>
      <w:bookmarkStart w:id="363" w:name="_Toc184308102"/>
      <w:bookmarkEnd w:id="363"/>
      <w:bookmarkStart w:id="364" w:name="_Toc184314464"/>
      <w:bookmarkEnd w:id="364"/>
      <w:bookmarkStart w:id="365" w:name="_Toc184308052"/>
      <w:bookmarkEnd w:id="365"/>
      <w:bookmarkStart w:id="366" w:name="_Toc184310309"/>
      <w:bookmarkEnd w:id="366"/>
      <w:bookmarkStart w:id="367" w:name="_Toc184314427"/>
      <w:bookmarkEnd w:id="367"/>
      <w:bookmarkStart w:id="368" w:name="_Toc184313295"/>
      <w:bookmarkEnd w:id="368"/>
      <w:bookmarkStart w:id="369" w:name="_Toc184310317"/>
      <w:bookmarkEnd w:id="369"/>
      <w:bookmarkStart w:id="370" w:name="_Toc184314475"/>
      <w:bookmarkEnd w:id="370"/>
      <w:bookmarkStart w:id="371" w:name="_Toc184314451"/>
      <w:bookmarkEnd w:id="371"/>
      <w:bookmarkStart w:id="372" w:name="_Toc184308095"/>
      <w:bookmarkEnd w:id="372"/>
      <w:bookmarkStart w:id="373" w:name="_Toc184314425"/>
      <w:bookmarkEnd w:id="373"/>
      <w:bookmarkStart w:id="374" w:name="_Toc184313291"/>
      <w:bookmarkEnd w:id="374"/>
      <w:bookmarkStart w:id="375" w:name="_Toc184310319"/>
      <w:bookmarkEnd w:id="375"/>
      <w:bookmarkStart w:id="376" w:name="_Toc184314480"/>
      <w:bookmarkEnd w:id="376"/>
      <w:bookmarkStart w:id="377" w:name="_Toc184312116"/>
      <w:bookmarkEnd w:id="377"/>
      <w:bookmarkStart w:id="378" w:name="_Toc184312106"/>
      <w:bookmarkEnd w:id="378"/>
      <w:bookmarkStart w:id="379" w:name="_Toc184313253"/>
      <w:bookmarkEnd w:id="379"/>
      <w:bookmarkStart w:id="380" w:name="_Toc184308060"/>
      <w:bookmarkEnd w:id="380"/>
      <w:bookmarkStart w:id="381" w:name="_Toc184310313"/>
      <w:bookmarkEnd w:id="381"/>
      <w:bookmarkStart w:id="382" w:name="_Toc184308069"/>
      <w:bookmarkEnd w:id="382"/>
      <w:bookmarkStart w:id="383" w:name="_Toc184310312"/>
      <w:bookmarkEnd w:id="383"/>
      <w:bookmarkStart w:id="384" w:name="_Toc184308092"/>
      <w:bookmarkEnd w:id="384"/>
      <w:bookmarkStart w:id="385" w:name="_Toc184313244"/>
      <w:bookmarkEnd w:id="385"/>
      <w:bookmarkStart w:id="386" w:name="_Toc184312126"/>
      <w:bookmarkEnd w:id="386"/>
      <w:bookmarkStart w:id="387" w:name="_Toc184312090"/>
      <w:bookmarkEnd w:id="387"/>
      <w:bookmarkStart w:id="388" w:name="_Toc184308088"/>
      <w:bookmarkEnd w:id="388"/>
      <w:bookmarkStart w:id="389" w:name="_Toc184314430"/>
      <w:bookmarkEnd w:id="389"/>
      <w:bookmarkStart w:id="390" w:name="_Toc184312088"/>
      <w:bookmarkEnd w:id="390"/>
      <w:bookmarkStart w:id="391" w:name="_Toc184314445"/>
      <w:bookmarkEnd w:id="391"/>
      <w:bookmarkStart w:id="392" w:name="_Toc184308098"/>
      <w:bookmarkEnd w:id="392"/>
      <w:bookmarkStart w:id="393" w:name="_Toc184314410"/>
      <w:bookmarkEnd w:id="393"/>
      <w:bookmarkStart w:id="394" w:name="_Toc184312079"/>
      <w:bookmarkEnd w:id="394"/>
      <w:r>
        <w:rPr>
          <w:rFonts w:hint="eastAsia" w:ascii="仿宋" w:hAnsi="仿宋" w:eastAsia="仿宋" w:cs="仿宋"/>
          <w:b/>
          <w:color w:val="auto"/>
          <w:sz w:val="36"/>
          <w:szCs w:val="36"/>
        </w:rPr>
        <w:t>评标办法</w:t>
      </w:r>
    </w:p>
    <w:p>
      <w:pPr>
        <w:snapToGrid w:val="0"/>
        <w:spacing w:line="360" w:lineRule="auto"/>
        <w:jc w:val="center"/>
        <w:rPr>
          <w:rFonts w:hint="eastAsia" w:ascii="仿宋" w:hAnsi="仿宋" w:eastAsia="仿宋" w:cs="仿宋"/>
          <w:b/>
          <w:color w:val="auto"/>
          <w:sz w:val="32"/>
          <w:szCs w:val="20"/>
        </w:rPr>
      </w:pPr>
      <w:r>
        <w:rPr>
          <w:rFonts w:hint="eastAsia" w:ascii="仿宋" w:hAnsi="仿宋" w:eastAsia="仿宋" w:cs="仿宋"/>
          <w:b/>
          <w:color w:val="auto"/>
          <w:sz w:val="32"/>
          <w:szCs w:val="20"/>
        </w:rPr>
        <w:t>评标办法前附表</w:t>
      </w:r>
    </w:p>
    <w:tbl>
      <w:tblPr>
        <w:tblStyle w:val="62"/>
        <w:tblW w:w="10972" w:type="dxa"/>
        <w:tblInd w:w="-1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5986"/>
        <w:gridCol w:w="643"/>
        <w:gridCol w:w="1589"/>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990" w:type="dxa"/>
            <w:tcBorders>
              <w:top w:val="single" w:color="auto" w:sz="4" w:space="0"/>
              <w:left w:val="single" w:color="auto" w:sz="4" w:space="0"/>
              <w:bottom w:val="single" w:color="auto" w:sz="4" w:space="0"/>
              <w:right w:val="single" w:color="auto" w:sz="4" w:space="0"/>
            </w:tcBorders>
            <w:vAlign w:val="center"/>
          </w:tcPr>
          <w:p>
            <w:pPr>
              <w:spacing w:beforeLines="50" w:afterLines="50" w:line="460" w:lineRule="exact"/>
              <w:jc w:val="center"/>
              <w:rPr>
                <w:rFonts w:hint="eastAsia" w:ascii="仿宋" w:hAnsi="仿宋" w:eastAsia="仿宋" w:cs="仿宋"/>
                <w:b/>
                <w:bCs/>
                <w:color w:val="auto"/>
                <w:sz w:val="24"/>
              </w:rPr>
            </w:pPr>
            <w:r>
              <w:rPr>
                <w:rFonts w:hint="eastAsia" w:ascii="仿宋" w:hAnsi="仿宋" w:eastAsia="仿宋" w:cs="仿宋"/>
                <w:b/>
                <w:bCs/>
                <w:color w:val="auto"/>
                <w:sz w:val="24"/>
              </w:rPr>
              <w:t>序号</w:t>
            </w:r>
          </w:p>
        </w:tc>
        <w:tc>
          <w:tcPr>
            <w:tcW w:w="5986" w:type="dxa"/>
            <w:tcBorders>
              <w:top w:val="single" w:color="auto" w:sz="4" w:space="0"/>
              <w:left w:val="nil"/>
              <w:bottom w:val="single" w:color="auto" w:sz="4" w:space="0"/>
              <w:right w:val="single" w:color="auto" w:sz="4" w:space="0"/>
            </w:tcBorders>
            <w:vAlign w:val="center"/>
          </w:tcPr>
          <w:p>
            <w:pPr>
              <w:spacing w:beforeLines="50" w:afterLines="50" w:line="340" w:lineRule="exact"/>
              <w:jc w:val="center"/>
              <w:rPr>
                <w:rFonts w:hint="eastAsia" w:ascii="仿宋" w:hAnsi="仿宋" w:eastAsia="仿宋" w:cs="仿宋"/>
                <w:b/>
                <w:bCs/>
                <w:color w:val="auto"/>
                <w:sz w:val="24"/>
              </w:rPr>
            </w:pPr>
            <w:r>
              <w:rPr>
                <w:rFonts w:hint="eastAsia" w:ascii="仿宋" w:hAnsi="仿宋" w:eastAsia="仿宋" w:cs="仿宋"/>
                <w:b/>
                <w:bCs/>
                <w:color w:val="auto"/>
                <w:sz w:val="24"/>
              </w:rPr>
              <w:t>评标标准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b/>
                <w:bCs/>
                <w:color w:val="auto"/>
                <w:sz w:val="24"/>
              </w:rPr>
            </w:pPr>
            <w:r>
              <w:rPr>
                <w:rFonts w:hint="eastAsia" w:ascii="仿宋" w:hAnsi="仿宋" w:eastAsia="仿宋" w:cs="仿宋"/>
                <w:b/>
                <w:bCs/>
                <w:color w:val="auto"/>
                <w:sz w:val="24"/>
              </w:rPr>
              <w:t>权重</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b/>
                <w:bCs/>
                <w:color w:val="auto"/>
                <w:sz w:val="24"/>
              </w:rPr>
            </w:pPr>
            <w:r>
              <w:rPr>
                <w:rFonts w:hint="eastAsia" w:ascii="仿宋" w:hAnsi="仿宋" w:eastAsia="仿宋" w:cs="仿宋"/>
                <w:b/>
                <w:color w:val="auto"/>
                <w:sz w:val="24"/>
              </w:rPr>
              <w:t>主观分/客观分属性</w:t>
            </w:r>
          </w:p>
        </w:tc>
        <w:tc>
          <w:tcPr>
            <w:tcW w:w="1764"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b/>
                <w:bCs/>
                <w:color w:val="auto"/>
                <w:sz w:val="24"/>
              </w:rPr>
            </w:pPr>
            <w:r>
              <w:rPr>
                <w:rFonts w:hint="eastAsia" w:ascii="仿宋" w:hAnsi="仿宋" w:eastAsia="仿宋" w:cs="仿宋"/>
                <w:b/>
                <w:bCs/>
                <w:color w:val="auto"/>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72" w:type="dxa"/>
            <w:gridSpan w:val="5"/>
            <w:tcBorders>
              <w:top w:val="single" w:color="auto" w:sz="4" w:space="0"/>
              <w:left w:val="single" w:color="auto" w:sz="4" w:space="0"/>
              <w:bottom w:val="single" w:color="auto" w:sz="4" w:space="0"/>
              <w:right w:val="single" w:color="auto" w:sz="4" w:space="0"/>
            </w:tcBorders>
            <w:vAlign w:val="center"/>
          </w:tcPr>
          <w:p>
            <w:pPr>
              <w:spacing w:beforeLines="50" w:afterLines="50"/>
              <w:jc w:val="left"/>
              <w:rPr>
                <w:rFonts w:hint="eastAsia" w:ascii="仿宋" w:hAnsi="仿宋" w:eastAsia="仿宋" w:cs="仿宋"/>
                <w:b/>
                <w:bCs/>
                <w:color w:val="auto"/>
                <w:sz w:val="24"/>
              </w:rPr>
            </w:pPr>
            <w:r>
              <w:rPr>
                <w:rFonts w:hint="eastAsia" w:ascii="仿宋" w:hAnsi="仿宋" w:eastAsia="仿宋" w:cs="仿宋"/>
                <w:b/>
                <w:bCs/>
                <w:color w:val="auto"/>
                <w:sz w:val="24"/>
              </w:rPr>
              <w:t>技术分（</w:t>
            </w:r>
            <w:r>
              <w:rPr>
                <w:rFonts w:hint="eastAsia" w:ascii="仿宋" w:hAnsi="仿宋" w:eastAsia="仿宋" w:cs="仿宋"/>
                <w:b/>
                <w:bCs/>
                <w:color w:val="auto"/>
                <w:sz w:val="24"/>
                <w:lang w:val="en-US" w:eastAsia="zh-CN"/>
              </w:rPr>
              <w:t>44</w:t>
            </w:r>
            <w:r>
              <w:rPr>
                <w:rFonts w:hint="eastAsia" w:ascii="仿宋" w:hAnsi="仿宋" w:eastAsia="仿宋" w:cs="仿宋"/>
                <w:b/>
                <w:bCs/>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sz w:val="24"/>
              </w:rPr>
            </w:pPr>
            <w:r>
              <w:rPr>
                <w:rFonts w:hint="eastAsia" w:ascii="仿宋" w:hAnsi="仿宋" w:eastAsia="仿宋" w:cs="仿宋"/>
                <w:color w:val="auto"/>
                <w:sz w:val="24"/>
              </w:rPr>
              <w:t>1</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lang w:eastAsia="zh-CN"/>
              </w:rPr>
            </w:pPr>
            <w:r>
              <w:rPr>
                <w:rFonts w:hint="eastAsia" w:ascii="仿宋" w:hAnsi="仿宋" w:eastAsia="仿宋" w:cs="仿宋"/>
                <w:b w:val="0"/>
                <w:bCs w:val="0"/>
                <w:color w:val="auto"/>
                <w:kern w:val="2"/>
                <w:sz w:val="24"/>
                <w:szCs w:val="24"/>
                <w:highlight w:val="none"/>
                <w:lang w:val="zh-CN" w:eastAsia="zh-CN" w:bidi="ar-SA"/>
              </w:rPr>
              <w:t>针对本项目提供船舶设计外形效果图的线性流畅度及美观度进行综合打分，最高得5分。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rPr>
            </w:pPr>
            <w:r>
              <w:rPr>
                <w:rFonts w:hint="eastAsia" w:ascii="仿宋" w:hAnsi="仿宋" w:eastAsia="仿宋" w:cs="仿宋"/>
                <w:color w:val="auto"/>
                <w:sz w:val="24"/>
              </w:rPr>
              <w:t>主观分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jc w:val="center"/>
              <w:rPr>
                <w:rFonts w:hint="default" w:ascii="仿宋" w:hAnsi="仿宋" w:eastAsia="仿宋" w:cs="仿宋"/>
                <w:color w:val="auto"/>
                <w:sz w:val="24"/>
                <w:lang w:val="en-US" w:eastAsia="zh-CN"/>
              </w:rPr>
            </w:pPr>
            <w:r>
              <w:rPr>
                <w:rFonts w:hint="eastAsia" w:ascii="仿宋" w:hAnsi="仿宋" w:eastAsia="仿宋" w:cs="仿宋"/>
                <w:b w:val="0"/>
                <w:bCs w:val="0"/>
                <w:color w:val="auto"/>
                <w:kern w:val="2"/>
                <w:sz w:val="24"/>
                <w:szCs w:val="24"/>
                <w:highlight w:val="none"/>
                <w:lang w:val="zh-CN" w:eastAsia="zh-CN" w:bidi="ar-SA"/>
              </w:rPr>
              <w:t>设计外观的美观度及流畅度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sz w:val="24"/>
              </w:rPr>
            </w:pPr>
            <w:r>
              <w:rPr>
                <w:rFonts w:hint="eastAsia" w:ascii="仿宋" w:hAnsi="仿宋" w:eastAsia="仿宋" w:cs="仿宋"/>
                <w:color w:val="auto"/>
                <w:sz w:val="24"/>
              </w:rPr>
              <w:t>2</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sz w:val="24"/>
              </w:rPr>
            </w:pPr>
            <w:r>
              <w:rPr>
                <w:rFonts w:hint="eastAsia" w:ascii="仿宋" w:hAnsi="仿宋" w:eastAsia="仿宋" w:cs="仿宋"/>
                <w:b w:val="0"/>
                <w:bCs w:val="0"/>
                <w:color w:val="auto"/>
                <w:kern w:val="2"/>
                <w:sz w:val="24"/>
                <w:szCs w:val="24"/>
                <w:highlight w:val="none"/>
                <w:lang w:val="zh-CN" w:eastAsia="zh-CN" w:bidi="ar-SA"/>
              </w:rPr>
              <w:t>根据</w:t>
            </w:r>
            <w:r>
              <w:rPr>
                <w:rFonts w:hint="eastAsia" w:ascii="仿宋" w:hAnsi="仿宋" w:eastAsia="仿宋" w:cs="仿宋"/>
                <w:b w:val="0"/>
                <w:bCs w:val="0"/>
                <w:color w:val="auto"/>
                <w:kern w:val="2"/>
                <w:sz w:val="24"/>
                <w:szCs w:val="24"/>
                <w:highlight w:val="none"/>
                <w:lang w:val="en-US" w:eastAsia="zh-CN" w:bidi="ar-SA"/>
              </w:rPr>
              <w:t>所投产品</w:t>
            </w:r>
            <w:r>
              <w:rPr>
                <w:rFonts w:hint="eastAsia" w:ascii="仿宋" w:hAnsi="仿宋" w:eastAsia="仿宋" w:cs="仿宋"/>
                <w:b w:val="0"/>
                <w:bCs w:val="0"/>
                <w:color w:val="auto"/>
                <w:kern w:val="2"/>
                <w:sz w:val="24"/>
                <w:szCs w:val="24"/>
                <w:highlight w:val="none"/>
                <w:lang w:val="zh-CN" w:eastAsia="zh-CN" w:bidi="ar-SA"/>
              </w:rPr>
              <w:t>设计的功能布局是否合理，并完全满足招标文件船舶技术要求，</w:t>
            </w:r>
            <w:r>
              <w:rPr>
                <w:rFonts w:hint="eastAsia" w:ascii="仿宋" w:hAnsi="仿宋" w:eastAsia="仿宋" w:cs="仿宋"/>
                <w:b w:val="0"/>
                <w:bCs w:val="0"/>
                <w:color w:val="auto"/>
                <w:kern w:val="2"/>
                <w:sz w:val="24"/>
                <w:szCs w:val="24"/>
                <w:highlight w:val="none"/>
                <w:lang w:val="en-US" w:eastAsia="zh-CN" w:bidi="ar-SA"/>
              </w:rPr>
              <w:t>综合打分，最高得5分。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rPr>
            </w:pPr>
            <w:r>
              <w:rPr>
                <w:rFonts w:hint="eastAsia" w:ascii="仿宋" w:hAnsi="仿宋" w:eastAsia="仿宋" w:cs="仿宋"/>
                <w:color w:val="auto"/>
                <w:sz w:val="24"/>
              </w:rPr>
              <w:t>主观分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val="en-US" w:eastAsia="zh-CN"/>
              </w:rPr>
            </w:pPr>
            <w:r>
              <w:rPr>
                <w:rFonts w:hint="eastAsia" w:ascii="仿宋" w:hAnsi="仿宋" w:eastAsia="仿宋" w:cs="仿宋"/>
                <w:color w:val="auto"/>
                <w:kern w:val="0"/>
                <w:sz w:val="24"/>
                <w:lang w:val="en-US" w:eastAsia="zh-CN"/>
              </w:rPr>
              <w:t>功能布局的科学性及合理性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sz w:val="24"/>
              </w:rPr>
            </w:pPr>
            <w:r>
              <w:rPr>
                <w:rFonts w:hint="eastAsia" w:ascii="仿宋" w:hAnsi="仿宋" w:eastAsia="仿宋" w:cs="仿宋"/>
                <w:color w:val="auto"/>
                <w:sz w:val="24"/>
              </w:rPr>
              <w:t>3</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sz w:val="24"/>
              </w:rPr>
            </w:pPr>
            <w:r>
              <w:rPr>
                <w:rFonts w:hint="eastAsia" w:ascii="仿宋" w:hAnsi="仿宋" w:eastAsia="仿宋" w:cs="仿宋"/>
                <w:b w:val="0"/>
                <w:bCs w:val="0"/>
                <w:color w:val="auto"/>
                <w:kern w:val="2"/>
                <w:sz w:val="24"/>
                <w:szCs w:val="24"/>
                <w:highlight w:val="none"/>
                <w:lang w:val="en-US" w:eastAsia="zh-CN" w:bidi="ar-SA"/>
              </w:rPr>
              <w:t>根据供应商提供的各项设计资料：船舶说明书、总布置图、基本结构图、破舱稳性计算书、完整稳性计算书的符合情况进行综合打分，最高得5分。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rPr>
            </w:pPr>
            <w:r>
              <w:rPr>
                <w:rFonts w:hint="eastAsia" w:ascii="仿宋" w:hAnsi="仿宋" w:eastAsia="仿宋" w:cs="仿宋"/>
                <w:color w:val="auto"/>
                <w:sz w:val="24"/>
              </w:rPr>
              <w:t>主观分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jc w:val="center"/>
              <w:rPr>
                <w:rFonts w:hint="default" w:ascii="仿宋" w:hAnsi="仿宋" w:eastAsia="仿宋" w:cs="仿宋"/>
                <w:color w:val="auto"/>
                <w:kern w:val="0"/>
                <w:sz w:val="24"/>
                <w:lang w:val="en-US" w:eastAsia="zh-CN"/>
              </w:rPr>
            </w:pPr>
            <w:r>
              <w:rPr>
                <w:rFonts w:hint="eastAsia" w:ascii="仿宋" w:hAnsi="仿宋" w:eastAsia="仿宋" w:cs="仿宋"/>
                <w:color w:val="auto"/>
                <w:sz w:val="24"/>
                <w:lang w:val="en-US" w:eastAsia="zh-CN"/>
              </w:rPr>
              <w:t>资料完整性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sz w:val="24"/>
              </w:rPr>
            </w:pPr>
            <w:r>
              <w:rPr>
                <w:rFonts w:hint="eastAsia" w:ascii="仿宋" w:hAnsi="仿宋" w:eastAsia="仿宋" w:cs="仿宋"/>
                <w:color w:val="auto"/>
                <w:sz w:val="24"/>
              </w:rPr>
              <w:t>4</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bCs/>
                <w:color w:val="auto"/>
                <w:sz w:val="24"/>
                <w:lang w:val="zh-CN"/>
              </w:rPr>
            </w:pPr>
            <w:r>
              <w:rPr>
                <w:rFonts w:hint="eastAsia" w:ascii="仿宋" w:hAnsi="仿宋" w:eastAsia="仿宋" w:cs="仿宋"/>
                <w:b w:val="0"/>
                <w:bCs w:val="0"/>
                <w:color w:val="auto"/>
                <w:kern w:val="2"/>
                <w:sz w:val="24"/>
                <w:szCs w:val="24"/>
                <w:highlight w:val="none"/>
                <w:lang w:val="en-US" w:eastAsia="zh-CN" w:bidi="ar-SA"/>
              </w:rPr>
              <w:t>根据投标人所采用的船体、轮机、电气、内装等施工工艺技术方案的科学性、合理性、成熟性、先进性，综合打分，最多得 5 分</w:t>
            </w:r>
          </w:p>
        </w:tc>
        <w:tc>
          <w:tcPr>
            <w:tcW w:w="643"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rPr>
            </w:pPr>
            <w:r>
              <w:rPr>
                <w:rFonts w:hint="eastAsia" w:ascii="仿宋" w:hAnsi="仿宋" w:eastAsia="仿宋" w:cs="仿宋"/>
                <w:color w:val="auto"/>
                <w:sz w:val="24"/>
              </w:rPr>
              <w:t>主观分</w:t>
            </w:r>
          </w:p>
        </w:tc>
        <w:tc>
          <w:tcPr>
            <w:tcW w:w="1764"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sz w:val="24"/>
              </w:rPr>
            </w:pPr>
            <w:r>
              <w:rPr>
                <w:rFonts w:hint="eastAsia" w:ascii="仿宋" w:hAnsi="仿宋" w:eastAsia="仿宋" w:cs="仿宋"/>
                <w:color w:val="auto"/>
                <w:sz w:val="24"/>
              </w:rPr>
              <w:t>5</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rPr>
            </w:pPr>
            <w:r>
              <w:rPr>
                <w:rFonts w:hint="eastAsia" w:ascii="仿宋" w:hAnsi="仿宋" w:eastAsia="仿宋" w:cs="仿宋"/>
                <w:b w:val="0"/>
                <w:bCs w:val="0"/>
                <w:color w:val="auto"/>
                <w:kern w:val="2"/>
                <w:sz w:val="24"/>
                <w:szCs w:val="24"/>
                <w:highlight w:val="none"/>
                <w:lang w:val="en-US" w:eastAsia="zh-CN" w:bidi="ar-SA"/>
              </w:rPr>
              <w:t>评委对供应商针对本项目提交的项目实施计划详尽性、进度保障措施（</w:t>
            </w:r>
            <w:r>
              <w:rPr>
                <w:rFonts w:hint="eastAsia" w:ascii="仿宋" w:hAnsi="仿宋" w:eastAsia="仿宋" w:cs="仿宋"/>
                <w:b w:val="0"/>
                <w:bCs w:val="0"/>
                <w:color w:val="auto"/>
                <w:kern w:val="2"/>
                <w:sz w:val="24"/>
                <w:szCs w:val="24"/>
                <w:highlight w:val="none"/>
                <w:lang w:val="zh-CN" w:eastAsia="zh-CN" w:bidi="ar-SA"/>
              </w:rPr>
              <w:t>对主要设备采购进度、船舶建造进度计划安排等</w:t>
            </w:r>
            <w:r>
              <w:rPr>
                <w:rFonts w:hint="eastAsia" w:ascii="仿宋" w:hAnsi="仿宋" w:eastAsia="仿宋" w:cs="仿宋"/>
                <w:b w:val="0"/>
                <w:bCs w:val="0"/>
                <w:color w:val="auto"/>
                <w:kern w:val="2"/>
                <w:sz w:val="24"/>
                <w:szCs w:val="24"/>
                <w:highlight w:val="none"/>
                <w:lang w:val="en-US" w:eastAsia="zh-CN" w:bidi="ar-SA"/>
              </w:rPr>
              <w:t>）、保证按时完工能力及措施进行综合打分，最高得5分。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rPr>
            </w:pPr>
            <w:r>
              <w:rPr>
                <w:rFonts w:hint="eastAsia" w:ascii="仿宋" w:hAnsi="仿宋" w:eastAsia="仿宋" w:cs="仿宋"/>
                <w:color w:val="auto"/>
                <w:sz w:val="24"/>
              </w:rPr>
              <w:t>主观分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实施计划及进度保证措施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sz w:val="24"/>
              </w:rPr>
            </w:pPr>
            <w:r>
              <w:rPr>
                <w:rFonts w:hint="eastAsia" w:ascii="仿宋" w:hAnsi="仿宋" w:eastAsia="仿宋" w:cs="仿宋"/>
                <w:color w:val="auto"/>
                <w:sz w:val="24"/>
              </w:rPr>
              <w:t>6</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sz w:val="24"/>
              </w:rPr>
            </w:pPr>
            <w:r>
              <w:rPr>
                <w:rFonts w:hint="eastAsia" w:ascii="仿宋" w:hAnsi="仿宋" w:eastAsia="仿宋" w:cs="仿宋"/>
                <w:b w:val="0"/>
                <w:bCs w:val="0"/>
                <w:color w:val="auto"/>
                <w:kern w:val="2"/>
                <w:sz w:val="24"/>
                <w:szCs w:val="24"/>
                <w:highlight w:val="none"/>
                <w:lang w:val="en-US" w:eastAsia="zh-CN" w:bidi="ar-SA"/>
              </w:rPr>
              <w:t>供应商针对本项目提交的安全生产、文明生产措施、船舶试航验收计划和方案等进行打分，最高得4分。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rPr>
            </w:pPr>
            <w:r>
              <w:rPr>
                <w:rFonts w:hint="eastAsia" w:ascii="仿宋" w:hAnsi="仿宋" w:eastAsia="仿宋" w:cs="仿宋"/>
                <w:color w:val="auto"/>
                <w:sz w:val="24"/>
              </w:rPr>
              <w:t>主观分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安全生产、文明施工方案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sz w:val="24"/>
              </w:rPr>
            </w:pPr>
            <w:r>
              <w:rPr>
                <w:rFonts w:hint="eastAsia" w:ascii="仿宋" w:hAnsi="仿宋" w:eastAsia="仿宋" w:cs="仿宋"/>
                <w:color w:val="auto"/>
                <w:sz w:val="24"/>
              </w:rPr>
              <w:t>7</w:t>
            </w:r>
          </w:p>
        </w:tc>
        <w:tc>
          <w:tcPr>
            <w:tcW w:w="5986" w:type="dxa"/>
            <w:tcBorders>
              <w:top w:val="single" w:color="auto" w:sz="4" w:space="0"/>
              <w:left w:val="nil"/>
              <w:bottom w:val="single" w:color="auto" w:sz="4" w:space="0"/>
              <w:right w:val="single" w:color="auto" w:sz="4" w:space="0"/>
            </w:tcBorders>
            <w:vAlign w:val="center"/>
          </w:tcPr>
          <w:p>
            <w:pPr>
              <w:snapToGrid w:val="0"/>
              <w:rPr>
                <w:rFonts w:hint="eastAsia" w:ascii="仿宋" w:hAnsi="仿宋" w:eastAsia="仿宋" w:cs="仿宋"/>
                <w:b w:val="0"/>
                <w:bCs w:val="0"/>
                <w:color w:val="auto"/>
                <w:kern w:val="2"/>
                <w:sz w:val="24"/>
                <w:szCs w:val="24"/>
                <w:highlight w:val="none"/>
                <w:rtl w:val="0"/>
                <w:lang w:val="en-US" w:eastAsia="zh-CN" w:bidi="ar-SA"/>
              </w:rPr>
            </w:pPr>
            <w:r>
              <w:rPr>
                <w:rFonts w:hint="eastAsia" w:ascii="仿宋" w:hAnsi="仿宋" w:eastAsia="仿宋" w:cs="仿宋"/>
                <w:b w:val="0"/>
                <w:bCs w:val="0"/>
                <w:color w:val="auto"/>
                <w:kern w:val="2"/>
                <w:sz w:val="24"/>
                <w:szCs w:val="24"/>
                <w:highlight w:val="none"/>
                <w:rtl w:val="0"/>
                <w:lang w:val="en-US" w:eastAsia="zh-CN" w:bidi="ar-SA"/>
              </w:rPr>
              <w:t>1、项目组实施人员具有船体工程师、船舶机械工程师、船舶与海洋工程工程师职称的，每有1人得1分，最高得3分；2、项目组实施人员获得船舶主管单位颁发的手糊工资格证书的，每有1人的得0.5分，最高得2分。</w:t>
            </w:r>
          </w:p>
          <w:p>
            <w:pPr>
              <w:rPr>
                <w:rFonts w:hint="eastAsia" w:ascii="仿宋" w:hAnsi="仿宋" w:eastAsia="仿宋" w:cs="仿宋"/>
                <w:color w:val="auto"/>
                <w:sz w:val="24"/>
                <w:lang w:val="zh-CN"/>
              </w:rPr>
            </w:pPr>
            <w:r>
              <w:rPr>
                <w:rFonts w:hint="eastAsia" w:ascii="仿宋" w:hAnsi="仿宋" w:eastAsia="仿宋" w:cs="仿宋"/>
                <w:b w:val="0"/>
                <w:bCs w:val="0"/>
                <w:color w:val="auto"/>
                <w:kern w:val="2"/>
                <w:sz w:val="24"/>
                <w:szCs w:val="24"/>
                <w:highlight w:val="none"/>
                <w:rtl w:val="0"/>
                <w:lang w:val="en-US" w:eastAsia="zh-CN" w:bidi="ar-SA"/>
              </w:rPr>
              <w:t>注：以上项目组人员同一人员证书不累计计分，需提供相关人员资格证书、劳动合同原件扫描件及近三个月社保证明材料并加盖公章，否则不得分。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客观分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项目组成人员及资质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sz w:val="24"/>
              </w:rPr>
            </w:pPr>
            <w:r>
              <w:rPr>
                <w:rFonts w:hint="eastAsia" w:ascii="仿宋" w:hAnsi="仿宋" w:eastAsia="仿宋" w:cs="仿宋"/>
                <w:color w:val="auto"/>
                <w:sz w:val="24"/>
              </w:rPr>
              <w:t>8</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sz w:val="24"/>
                <w:lang w:val="zh-CN"/>
              </w:rPr>
            </w:pPr>
            <w:r>
              <w:rPr>
                <w:rFonts w:hint="eastAsia" w:ascii="仿宋" w:hAnsi="仿宋" w:eastAsia="仿宋" w:cs="仿宋"/>
                <w:color w:val="auto"/>
                <w:sz w:val="24"/>
                <w:highlight w:val="none"/>
                <w:lang w:val="en-US" w:eastAsia="zh-CN"/>
              </w:rPr>
              <w:t>投标人组织实施方案的科学性、合理性、规范性和可操作性，包括供货渠道、供货时间、验货、调试等内容，综合打分，最高得2分。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rPr>
            </w:pPr>
            <w:r>
              <w:rPr>
                <w:rFonts w:hint="eastAsia" w:ascii="仿宋" w:hAnsi="仿宋" w:eastAsia="仿宋" w:cs="仿宋"/>
                <w:color w:val="auto"/>
                <w:sz w:val="24"/>
              </w:rPr>
              <w:t>主观分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9</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中标人须对招标人的技术人员培训方案进行综合打分最高得4分。投标人须在投标文件中提供详细的培训计划，包括培训内容、培训时间、培训费用等进行综合打分，其中培训内容需包含（①原理、构成和功能的描述。②常见故障的处理或排除。③各系统部件（设备）的检查、调整和维护。④对使用者关于设备基本操作技能的培训）等内容。</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rPr>
            </w:pPr>
            <w:r>
              <w:rPr>
                <w:rFonts w:hint="eastAsia" w:ascii="仿宋" w:hAnsi="仿宋" w:eastAsia="仿宋" w:cs="仿宋"/>
                <w:color w:val="auto"/>
                <w:sz w:val="24"/>
              </w:rPr>
              <w:t>主观分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技术培训方案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10</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拟投入本项目的造船设施及装备的拥有状况及先进性，船厂设备齐全性能情况，能充分满足建造工程条件（参考投标文件及投标人提供资料，要求具有固定风雨棚、独立船台，固定行吊起重设备等），最高得2分。（提供相应证明资料并加盖公章，否则不得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rPr>
            </w:pPr>
            <w:r>
              <w:rPr>
                <w:rFonts w:hint="eastAsia" w:ascii="仿宋" w:hAnsi="仿宋" w:eastAsia="仿宋" w:cs="仿宋"/>
                <w:color w:val="auto"/>
                <w:sz w:val="24"/>
              </w:rPr>
              <w:t>主观分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制造设备情况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auto"/>
                <w:kern w:val="0"/>
                <w:sz w:val="24"/>
                <w:lang w:val="en-US" w:eastAsia="zh-CN"/>
              </w:rPr>
            </w:pPr>
            <w:r>
              <w:rPr>
                <w:rFonts w:hint="eastAsia" w:ascii="仿宋" w:hAnsi="仿宋" w:eastAsia="仿宋" w:cs="仿宋"/>
                <w:color w:val="auto"/>
                <w:sz w:val="24"/>
                <w:lang w:val="en-US" w:eastAsia="zh-CN"/>
              </w:rPr>
              <w:t>11</w:t>
            </w:r>
          </w:p>
        </w:tc>
        <w:tc>
          <w:tcPr>
            <w:tcW w:w="5986" w:type="dxa"/>
            <w:tcBorders>
              <w:top w:val="single" w:color="auto" w:sz="4" w:space="0"/>
              <w:left w:val="nil"/>
              <w:bottom w:val="single" w:color="auto" w:sz="4" w:space="0"/>
              <w:right w:val="single" w:color="auto" w:sz="4" w:space="0"/>
            </w:tcBorders>
            <w:vAlign w:val="center"/>
          </w:tcPr>
          <w:p>
            <w:pPr>
              <w:pStyle w:val="3"/>
              <w:rPr>
                <w:rFonts w:hint="eastAsia" w:ascii="仿宋" w:hAnsi="仿宋" w:eastAsia="仿宋" w:cs="仿宋"/>
                <w:color w:val="auto"/>
                <w:lang w:val="en-US" w:eastAsia="zh-CN"/>
              </w:rPr>
            </w:pPr>
            <w:r>
              <w:rPr>
                <w:rFonts w:hint="eastAsia" w:ascii="仿宋" w:hAnsi="仿宋" w:eastAsia="仿宋" w:cs="仿宋"/>
                <w:color w:val="auto"/>
                <w:sz w:val="24"/>
                <w:highlight w:val="none"/>
                <w:lang w:val="en-US" w:eastAsia="zh-CN"/>
              </w:rPr>
              <w:t>根据投标人提供的售后服务、维保方案（包括维保标准，保修部件范围等方面进行综合打分，最高得2分。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rPr>
            </w:pPr>
            <w:r>
              <w:rPr>
                <w:rFonts w:hint="eastAsia" w:ascii="仿宋" w:hAnsi="仿宋" w:eastAsia="仿宋" w:cs="仿宋"/>
                <w:color w:val="auto"/>
                <w:sz w:val="24"/>
              </w:rPr>
              <w:t>主观分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972" w:type="dxa"/>
            <w:gridSpan w:val="5"/>
            <w:tcBorders>
              <w:top w:val="single" w:color="auto" w:sz="4" w:space="0"/>
              <w:left w:val="single" w:color="auto" w:sz="4" w:space="0"/>
              <w:bottom w:val="single" w:color="auto" w:sz="4" w:space="0"/>
              <w:right w:val="single" w:color="auto" w:sz="4" w:space="0"/>
            </w:tcBorders>
            <w:vAlign w:val="center"/>
          </w:tcPr>
          <w:p>
            <w:pPr>
              <w:spacing w:beforeLines="50" w:afterLines="50"/>
              <w:jc w:val="left"/>
              <w:rPr>
                <w:rFonts w:hint="eastAsia" w:ascii="仿宋" w:hAnsi="仿宋" w:eastAsia="仿宋" w:cs="仿宋"/>
                <w:color w:val="auto"/>
                <w:sz w:val="24"/>
              </w:rPr>
            </w:pPr>
            <w:r>
              <w:rPr>
                <w:rFonts w:hint="eastAsia" w:ascii="仿宋" w:hAnsi="仿宋" w:eastAsia="仿宋" w:cs="仿宋"/>
                <w:b/>
                <w:bCs/>
                <w:color w:val="auto"/>
                <w:sz w:val="24"/>
              </w:rPr>
              <w:t>资信及商务分（</w:t>
            </w:r>
            <w:r>
              <w:rPr>
                <w:rFonts w:hint="eastAsia" w:ascii="仿宋" w:hAnsi="仿宋" w:eastAsia="仿宋" w:cs="仿宋"/>
                <w:b/>
                <w:bCs/>
                <w:color w:val="auto"/>
                <w:sz w:val="24"/>
                <w:lang w:val="en-US" w:eastAsia="zh-CN"/>
              </w:rPr>
              <w:t>16</w:t>
            </w:r>
            <w:r>
              <w:rPr>
                <w:rFonts w:hint="eastAsia" w:ascii="仿宋" w:hAnsi="仿宋" w:eastAsia="仿宋" w:cs="仿宋"/>
                <w:b/>
                <w:bCs/>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12</w:t>
            </w:r>
          </w:p>
        </w:tc>
        <w:tc>
          <w:tcPr>
            <w:tcW w:w="5986" w:type="dxa"/>
            <w:tcBorders>
              <w:top w:val="single" w:color="auto" w:sz="4" w:space="0"/>
              <w:left w:val="nil"/>
              <w:bottom w:val="single" w:color="auto" w:sz="4" w:space="0"/>
              <w:right w:val="single" w:color="auto" w:sz="4" w:space="0"/>
            </w:tcBorders>
            <w:vAlign w:val="center"/>
          </w:tcPr>
          <w:p>
            <w:pPr>
              <w:pStyle w:val="38"/>
              <w:numPr>
                <w:ilvl w:val="0"/>
                <w:numId w:val="5"/>
              </w:numPr>
              <w:spacing w:line="360" w:lineRule="exact"/>
              <w:ind w:right="-107" w:rightChars="-51" w:firstLine="0" w:firstLineChars="0"/>
              <w:jc w:val="left"/>
              <w:rPr>
                <w:rFonts w:hint="eastAsia" w:ascii="仿宋" w:hAnsi="仿宋" w:eastAsia="仿宋" w:cs="仿宋"/>
                <w:color w:val="auto"/>
                <w:sz w:val="24"/>
              </w:rPr>
            </w:pPr>
            <w:r>
              <w:rPr>
                <w:rFonts w:hint="eastAsia" w:ascii="仿宋" w:hAnsi="仿宋" w:eastAsia="仿宋" w:cs="仿宋"/>
                <w:b w:val="0"/>
                <w:bCs w:val="0"/>
                <w:color w:val="auto"/>
                <w:kern w:val="2"/>
                <w:sz w:val="24"/>
                <w:szCs w:val="24"/>
                <w:highlight w:val="none"/>
                <w:lang w:val="en-US" w:eastAsia="zh-CN" w:bidi="ar-SA"/>
              </w:rPr>
              <w:t>投标人拥有有效期内中国船级社质量管理体系认证证书、中国船级社环境管理体系认证证书、中国船级社职业健康安全管理体系认证证书、安全生产标准化证书的，每提供一个得 1 分，最高得4分；2、投标人持有类似船型专利证书，提供一个得0.5分，最高得1分。（需提供有效期内相应证书复印件并加盖公章，不提供不得分）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rPr>
            </w:pPr>
            <w:r>
              <w:rPr>
                <w:rFonts w:hint="eastAsia" w:ascii="仿宋" w:hAnsi="仿宋" w:eastAsia="仿宋" w:cs="仿宋"/>
                <w:color w:val="auto"/>
                <w:sz w:val="24"/>
              </w:rPr>
              <w:t>客观分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rPr>
            </w:pPr>
            <w:r>
              <w:rPr>
                <w:rFonts w:hint="eastAsia" w:ascii="仿宋" w:hAnsi="仿宋" w:eastAsia="仿宋" w:cs="仿宋"/>
                <w:color w:val="auto"/>
                <w:sz w:val="24"/>
              </w:rPr>
              <w:t>体系认证</w:t>
            </w:r>
          </w:p>
          <w:p>
            <w:pPr>
              <w:spacing w:beforeLines="50" w:afterLines="50"/>
              <w:jc w:val="center"/>
              <w:rPr>
                <w:rFonts w:hint="eastAsia" w:ascii="仿宋" w:hAnsi="仿宋" w:eastAsia="仿宋" w:cs="仿宋"/>
                <w:color w:val="auto"/>
                <w:sz w:val="24"/>
              </w:rPr>
            </w:pPr>
            <w:r>
              <w:rPr>
                <w:rFonts w:hint="eastAsia" w:ascii="仿宋" w:hAnsi="仿宋" w:eastAsia="仿宋" w:cs="仿宋"/>
                <w:color w:val="auto"/>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13</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sz w:val="24"/>
              </w:rPr>
            </w:pPr>
            <w:r>
              <w:rPr>
                <w:rFonts w:hint="eastAsia" w:ascii="仿宋" w:hAnsi="仿宋" w:eastAsia="仿宋" w:cs="仿宋"/>
                <w:b w:val="0"/>
                <w:bCs w:val="0"/>
                <w:color w:val="auto"/>
                <w:kern w:val="2"/>
                <w:sz w:val="24"/>
                <w:szCs w:val="24"/>
                <w:highlight w:val="none"/>
                <w:lang w:val="en-US" w:eastAsia="zh-CN" w:bidi="ar-SA"/>
              </w:rPr>
              <w:t>质保期满足招标要求（质保期1年）不得分，每增加半年得1分，最高得2分。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rPr>
            </w:pPr>
            <w:r>
              <w:rPr>
                <w:rFonts w:hint="eastAsia" w:ascii="仿宋" w:hAnsi="仿宋" w:eastAsia="仿宋" w:cs="仿宋"/>
                <w:color w:val="auto"/>
                <w:sz w:val="24"/>
              </w:rPr>
              <w:t>客观分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rPr>
            </w:pPr>
            <w:r>
              <w:rPr>
                <w:rFonts w:hint="eastAsia" w:ascii="仿宋" w:hAnsi="仿宋" w:eastAsia="仿宋" w:cs="仿宋"/>
                <w:color w:val="auto"/>
                <w:sz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14</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sz w:val="24"/>
              </w:rPr>
            </w:pPr>
            <w:r>
              <w:rPr>
                <w:rFonts w:hint="eastAsia" w:ascii="仿宋" w:hAnsi="仿宋" w:eastAsia="仿宋" w:cs="仿宋"/>
                <w:b w:val="0"/>
                <w:bCs w:val="0"/>
                <w:color w:val="auto"/>
                <w:kern w:val="2"/>
                <w:sz w:val="24"/>
                <w:szCs w:val="24"/>
                <w:highlight w:val="none"/>
                <w:lang w:val="en-US" w:eastAsia="zh-CN" w:bidi="ar-SA"/>
              </w:rPr>
              <w:t>自2020年1月1日以来（以合同签订时间为准）投标人承担过类似项目业绩的每个得1分，最高得4分。（需提供合同复印件及类似船舶检验证书正本复印件并加盖公章，否则不得分）。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w:t>
            </w:r>
          </w:p>
        </w:tc>
        <w:tc>
          <w:tcPr>
            <w:tcW w:w="1589" w:type="dxa"/>
            <w:tcBorders>
              <w:top w:val="single" w:color="auto" w:sz="4" w:space="0"/>
              <w:left w:val="nil"/>
              <w:bottom w:val="single" w:color="auto" w:sz="4" w:space="0"/>
              <w:right w:val="single" w:color="auto" w:sz="4" w:space="0"/>
            </w:tcBorders>
            <w:vAlign w:val="center"/>
          </w:tcPr>
          <w:p>
            <w:pPr>
              <w:spacing w:beforeLines="50" w:afterLines="50"/>
              <w:ind w:firstLine="240" w:firstLineChars="100"/>
              <w:rPr>
                <w:rFonts w:hint="eastAsia" w:ascii="仿宋" w:hAnsi="仿宋" w:eastAsia="仿宋" w:cs="仿宋"/>
                <w:color w:val="auto"/>
                <w:sz w:val="24"/>
              </w:rPr>
            </w:pPr>
            <w:r>
              <w:rPr>
                <w:rFonts w:hint="eastAsia" w:ascii="仿宋" w:hAnsi="仿宋" w:eastAsia="仿宋" w:cs="仿宋"/>
                <w:color w:val="auto"/>
                <w:sz w:val="24"/>
              </w:rPr>
              <w:t>客观分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rPr>
            </w:pPr>
            <w:r>
              <w:rPr>
                <w:rFonts w:hint="eastAsia" w:ascii="仿宋" w:hAnsi="仿宋" w:eastAsia="仿宋" w:cs="仿宋"/>
                <w:color w:val="auto"/>
                <w:sz w:val="24"/>
              </w:rPr>
              <w:t>类似项目</w:t>
            </w:r>
          </w:p>
          <w:p>
            <w:pPr>
              <w:spacing w:beforeLines="50" w:afterLines="50"/>
              <w:jc w:val="center"/>
              <w:rPr>
                <w:rFonts w:hint="eastAsia" w:ascii="仿宋" w:hAnsi="仿宋" w:eastAsia="仿宋" w:cs="仿宋"/>
                <w:color w:val="auto"/>
                <w:sz w:val="24"/>
              </w:rPr>
            </w:pPr>
            <w:r>
              <w:rPr>
                <w:rFonts w:hint="eastAsia" w:ascii="仿宋" w:hAnsi="仿宋" w:eastAsia="仿宋" w:cs="仿宋"/>
                <w:color w:val="auto"/>
                <w:sz w:val="24"/>
              </w:rPr>
              <w:t>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15</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sz w:val="24"/>
              </w:rPr>
            </w:pPr>
            <w:r>
              <w:rPr>
                <w:rFonts w:hint="eastAsia" w:ascii="仿宋" w:hAnsi="仿宋" w:eastAsia="仿宋" w:cs="仿宋"/>
                <w:b w:val="0"/>
                <w:bCs w:val="0"/>
                <w:color w:val="auto"/>
                <w:kern w:val="2"/>
                <w:sz w:val="24"/>
                <w:szCs w:val="24"/>
                <w:highlight w:val="none"/>
                <w:lang w:val="en-US" w:eastAsia="zh-CN" w:bidi="ar-SA"/>
              </w:rPr>
              <w:t>定期巡检，备品备件等情况阐述明细性、合理性，针对性进行综合打分，最高得2分。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w:t>
            </w:r>
          </w:p>
        </w:tc>
        <w:tc>
          <w:tcPr>
            <w:tcW w:w="1589" w:type="dxa"/>
            <w:tcBorders>
              <w:top w:val="single" w:color="auto" w:sz="4" w:space="0"/>
              <w:left w:val="nil"/>
              <w:bottom w:val="single" w:color="auto" w:sz="4" w:space="0"/>
              <w:right w:val="single" w:color="auto" w:sz="4" w:space="0"/>
            </w:tcBorders>
            <w:vAlign w:val="center"/>
          </w:tcPr>
          <w:p>
            <w:pPr>
              <w:spacing w:beforeLines="50" w:afterLines="50"/>
              <w:ind w:firstLine="240" w:firstLineChars="1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主观分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备品备件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16</w:t>
            </w:r>
          </w:p>
        </w:tc>
        <w:tc>
          <w:tcPr>
            <w:tcW w:w="5986" w:type="dxa"/>
            <w:tcBorders>
              <w:top w:val="single" w:color="auto" w:sz="4" w:space="0"/>
              <w:left w:val="nil"/>
              <w:bottom w:val="single" w:color="auto" w:sz="4" w:space="0"/>
              <w:right w:val="single" w:color="auto" w:sz="4" w:space="0"/>
            </w:tcBorders>
            <w:vAlign w:val="center"/>
          </w:tcPr>
          <w:p>
            <w:pPr>
              <w:pStyle w:val="2"/>
              <w:ind w:firstLine="0"/>
              <w:rPr>
                <w:rFonts w:hint="eastAsia" w:ascii="仿宋" w:hAnsi="仿宋" w:eastAsia="仿宋" w:cs="仿宋"/>
                <w:color w:val="auto"/>
                <w:szCs w:val="24"/>
                <w:lang w:val="en-US"/>
              </w:rPr>
            </w:pPr>
            <w:r>
              <w:rPr>
                <w:rFonts w:hint="eastAsia" w:ascii="仿宋" w:hAnsi="仿宋" w:eastAsia="仿宋" w:cs="仿宋"/>
                <w:b w:val="0"/>
                <w:bCs w:val="0"/>
                <w:color w:val="auto"/>
                <w:kern w:val="2"/>
                <w:sz w:val="24"/>
                <w:szCs w:val="24"/>
                <w:highlight w:val="none"/>
                <w:lang w:val="zh-CN" w:eastAsia="zh-CN" w:bidi="ar-SA"/>
              </w:rPr>
              <w:t>投标人提供的售后维护机构和人员等情况，是否具有较强的本地化服务能力，在本地是否拥有常驻服务、技术支持机构以及较强的专业技术队伍，能提供快速的售后服务响应。（提供相关证明材料</w:t>
            </w:r>
            <w:r>
              <w:rPr>
                <w:rFonts w:hint="eastAsia" w:ascii="仿宋" w:hAnsi="仿宋" w:eastAsia="仿宋" w:cs="仿宋"/>
                <w:b w:val="0"/>
                <w:bCs w:val="0"/>
                <w:color w:val="auto"/>
                <w:kern w:val="2"/>
                <w:sz w:val="24"/>
                <w:szCs w:val="24"/>
                <w:highlight w:val="none"/>
                <w:lang w:val="en-US" w:eastAsia="zh-CN" w:bidi="ar-SA"/>
              </w:rPr>
              <w:t>并加盖公章</w:t>
            </w:r>
            <w:r>
              <w:rPr>
                <w:rFonts w:hint="eastAsia" w:ascii="仿宋" w:hAnsi="仿宋" w:eastAsia="仿宋" w:cs="仿宋"/>
                <w:b w:val="0"/>
                <w:bCs w:val="0"/>
                <w:color w:val="auto"/>
                <w:kern w:val="2"/>
                <w:sz w:val="24"/>
                <w:szCs w:val="24"/>
                <w:highlight w:val="none"/>
                <w:lang w:val="zh-CN" w:eastAsia="zh-CN" w:bidi="ar-SA"/>
              </w:rPr>
              <w:t>）。（</w:t>
            </w:r>
            <w:r>
              <w:rPr>
                <w:rFonts w:hint="eastAsia" w:ascii="仿宋" w:hAnsi="仿宋" w:eastAsia="仿宋" w:cs="仿宋"/>
                <w:b w:val="0"/>
                <w:bCs w:val="0"/>
                <w:color w:val="auto"/>
                <w:kern w:val="2"/>
                <w:sz w:val="24"/>
                <w:szCs w:val="24"/>
                <w:highlight w:val="none"/>
                <w:lang w:val="en-US" w:eastAsia="zh-CN" w:bidi="ar-SA"/>
              </w:rPr>
              <w:t>0-3</w:t>
            </w:r>
            <w:r>
              <w:rPr>
                <w:rFonts w:hint="eastAsia" w:ascii="仿宋" w:hAnsi="仿宋" w:eastAsia="仿宋" w:cs="仿宋"/>
                <w:b w:val="0"/>
                <w:bCs w:val="0"/>
                <w:color w:val="auto"/>
                <w:kern w:val="2"/>
                <w:sz w:val="24"/>
                <w:szCs w:val="24"/>
                <w:highlight w:val="none"/>
                <w:lang w:val="zh-CN" w:eastAsia="zh-CN" w:bidi="ar-SA"/>
              </w:rPr>
              <w:t>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rPr>
            </w:pPr>
            <w:r>
              <w:rPr>
                <w:rFonts w:hint="eastAsia" w:ascii="仿宋" w:hAnsi="仿宋" w:eastAsia="仿宋" w:cs="仿宋"/>
                <w:color w:val="auto"/>
                <w:sz w:val="24"/>
              </w:rPr>
              <w:t>主观分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本地化服务能力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0972" w:type="dxa"/>
            <w:gridSpan w:val="5"/>
            <w:tcBorders>
              <w:top w:val="single" w:color="auto" w:sz="4" w:space="0"/>
              <w:left w:val="single" w:color="auto" w:sz="4" w:space="0"/>
              <w:bottom w:val="single" w:color="auto" w:sz="4" w:space="0"/>
              <w:right w:val="single" w:color="auto" w:sz="4" w:space="0"/>
            </w:tcBorders>
            <w:vAlign w:val="center"/>
          </w:tcPr>
          <w:p>
            <w:pPr>
              <w:spacing w:beforeLines="50" w:afterLines="50"/>
              <w:jc w:val="left"/>
              <w:rPr>
                <w:rFonts w:hint="eastAsia" w:ascii="仿宋" w:hAnsi="仿宋" w:eastAsia="仿宋" w:cs="仿宋"/>
                <w:color w:val="auto"/>
                <w:sz w:val="24"/>
              </w:rPr>
            </w:pPr>
            <w:r>
              <w:rPr>
                <w:rFonts w:hint="eastAsia" w:ascii="仿宋" w:hAnsi="仿宋" w:eastAsia="仿宋" w:cs="仿宋"/>
                <w:b/>
                <w:bCs/>
                <w:color w:val="auto"/>
                <w:sz w:val="24"/>
              </w:rPr>
              <w:t>价格分（</w:t>
            </w:r>
            <w:r>
              <w:rPr>
                <w:rFonts w:hint="eastAsia" w:ascii="仿宋" w:hAnsi="仿宋" w:eastAsia="仿宋" w:cs="仿宋"/>
                <w:b/>
                <w:bCs/>
                <w:color w:val="auto"/>
                <w:sz w:val="24"/>
                <w:lang w:val="en-US" w:eastAsia="zh-CN"/>
              </w:rPr>
              <w:t>40</w:t>
            </w:r>
            <w:r>
              <w:rPr>
                <w:rFonts w:hint="eastAsia" w:ascii="仿宋" w:hAnsi="仿宋" w:eastAsia="仿宋" w:cs="仿宋"/>
                <w:b/>
                <w:bCs/>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17</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sz w:val="24"/>
              </w:rPr>
            </w:pPr>
            <w:r>
              <w:rPr>
                <w:rFonts w:hint="eastAsia" w:ascii="仿宋" w:hAnsi="仿宋" w:eastAsia="仿宋" w:cs="仿宋"/>
                <w:color w:val="auto"/>
                <w:sz w:val="24"/>
              </w:rPr>
              <w:t>满足招标文件要求且投标报价最低的投标报价为评标基准价，其价格分为满分。其他投标人的价格分统一按照下列公式计算：投标报价得分=（评标基准价/投标报价）*</w:t>
            </w:r>
            <w:r>
              <w:rPr>
                <w:rFonts w:hint="eastAsia" w:ascii="仿宋" w:hAnsi="仿宋" w:eastAsia="仿宋" w:cs="仿宋"/>
                <w:color w:val="auto"/>
                <w:sz w:val="24"/>
                <w:lang w:val="en-US" w:eastAsia="zh-CN"/>
              </w:rPr>
              <w:t>4</w:t>
            </w:r>
            <w:r>
              <w:rPr>
                <w:rFonts w:hint="eastAsia" w:ascii="仿宋" w:hAnsi="仿宋" w:eastAsia="仿宋" w:cs="仿宋"/>
                <w:color w:val="auto"/>
                <w:sz w:val="24"/>
              </w:rPr>
              <w:t>0%×100</w:t>
            </w:r>
          </w:p>
          <w:p>
            <w:pPr>
              <w:rPr>
                <w:rFonts w:hint="eastAsia" w:ascii="仿宋" w:hAnsi="仿宋" w:eastAsia="仿宋" w:cs="仿宋"/>
                <w:color w:val="auto"/>
                <w:sz w:val="24"/>
              </w:rPr>
            </w:pPr>
            <w:r>
              <w:rPr>
                <w:rFonts w:hint="eastAsia" w:ascii="仿宋" w:hAnsi="仿宋" w:eastAsia="仿宋" w:cs="仿宋"/>
                <w:color w:val="auto"/>
                <w:sz w:val="24"/>
              </w:rPr>
              <w:t>评标过程中，不得去掉报价中的最高报价和最低报价。</w:t>
            </w:r>
          </w:p>
          <w:p>
            <w:pPr>
              <w:rPr>
                <w:rFonts w:hint="eastAsia" w:ascii="仿宋" w:hAnsi="仿宋" w:eastAsia="仿宋" w:cs="仿宋"/>
                <w:color w:val="auto"/>
                <w:sz w:val="24"/>
              </w:rPr>
            </w:pPr>
            <w:r>
              <w:rPr>
                <w:rFonts w:hint="eastAsia" w:ascii="仿宋" w:hAnsi="仿宋" w:eastAsia="仿宋" w:cs="仿宋"/>
                <w:color w:val="auto"/>
                <w:sz w:val="24"/>
              </w:rPr>
              <w:t>对于未预留份额专门面向中小企业的采购项目，以及预留份额采购项目中的非预留部分，对小型和微型企业的投标报价给予</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的扣除，用扣除后的价格参与评审。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%的扣除，用扣除后的</w:t>
            </w:r>
            <w:r>
              <w:rPr>
                <w:rFonts w:hint="eastAsia" w:ascii="仿宋" w:hAnsi="仿宋" w:eastAsia="仿宋" w:cs="仿宋"/>
                <w:color w:val="auto"/>
                <w:sz w:val="24"/>
              </w:rPr>
              <w:t>价格参加评审。</w:t>
            </w:r>
          </w:p>
        </w:tc>
        <w:tc>
          <w:tcPr>
            <w:tcW w:w="643"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40</w:t>
            </w:r>
          </w:p>
        </w:tc>
        <w:tc>
          <w:tcPr>
            <w:tcW w:w="1589"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rPr>
            </w:pPr>
            <w:r>
              <w:rPr>
                <w:rFonts w:hint="eastAsia" w:ascii="仿宋" w:hAnsi="仿宋" w:eastAsia="仿宋" w:cs="仿宋"/>
                <w:color w:val="auto"/>
                <w:sz w:val="24"/>
              </w:rPr>
              <w:t>/</w:t>
            </w:r>
          </w:p>
        </w:tc>
        <w:tc>
          <w:tcPr>
            <w:tcW w:w="176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hint="eastAsia" w:ascii="仿宋" w:hAnsi="仿宋" w:eastAsia="仿宋" w:cs="仿宋"/>
                <w:color w:val="auto"/>
                <w:sz w:val="24"/>
              </w:rPr>
            </w:pPr>
            <w:r>
              <w:rPr>
                <w:rFonts w:hint="eastAsia" w:ascii="仿宋" w:hAnsi="仿宋" w:eastAsia="仿宋" w:cs="仿宋"/>
                <w:color w:val="auto"/>
                <w:sz w:val="24"/>
              </w:rPr>
              <w:t>/</w:t>
            </w:r>
          </w:p>
        </w:tc>
      </w:tr>
    </w:tbl>
    <w:p>
      <w:pPr>
        <w:snapToGrid w:val="0"/>
        <w:spacing w:line="360" w:lineRule="auto"/>
        <w:rPr>
          <w:rFonts w:hint="eastAsia" w:ascii="仿宋" w:hAnsi="仿宋" w:eastAsia="仿宋" w:cs="仿宋"/>
          <w:b/>
          <w:color w:val="auto"/>
          <w:sz w:val="24"/>
        </w:rPr>
      </w:pPr>
      <w:r>
        <w:rPr>
          <w:rFonts w:hint="eastAsia" w:ascii="仿宋" w:hAnsi="仿宋" w:eastAsia="仿宋" w:cs="仿宋"/>
          <w:color w:val="auto"/>
          <w:sz w:val="20"/>
          <w:szCs w:val="20"/>
          <w:shd w:val="clear" w:color="auto" w:fill="FFFFFF"/>
        </w:rPr>
        <w:t> *</w:t>
      </w:r>
      <w:r>
        <w:rPr>
          <w:rFonts w:hint="eastAsia" w:ascii="仿宋" w:hAnsi="仿宋" w:eastAsia="仿宋" w:cs="仿宋"/>
          <w:b/>
          <w:color w:val="auto"/>
          <w:sz w:val="24"/>
        </w:rPr>
        <w:t>备注：</w:t>
      </w:r>
      <w:r>
        <w:rPr>
          <w:rFonts w:hint="eastAsia" w:ascii="仿宋" w:hAnsi="仿宋" w:eastAsia="仿宋" w:cs="仿宋"/>
          <w:color w:val="auto"/>
          <w:sz w:val="24"/>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auto"/>
          <w:sz w:val="30"/>
          <w:szCs w:val="30"/>
        </w:rPr>
      </w:pPr>
      <w:r>
        <w:rPr>
          <w:rFonts w:hint="eastAsia" w:ascii="仿宋" w:hAnsi="仿宋" w:eastAsia="仿宋" w:cs="仿宋"/>
          <w:b/>
          <w:color w:val="auto"/>
          <w:sz w:val="30"/>
          <w:szCs w:val="30"/>
        </w:rPr>
        <w:t>一、评标方法</w:t>
      </w:r>
    </w:p>
    <w:p>
      <w:pPr>
        <w:adjustRightInd/>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1.本项目采用综合评分法。</w:t>
      </w:r>
      <w:r>
        <w:rPr>
          <w:rFonts w:hint="eastAsia" w:ascii="仿宋" w:hAnsi="仿宋" w:eastAsia="仿宋" w:cs="仿宋"/>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8"/>
          <w:szCs w:val="28"/>
        </w:rPr>
      </w:pPr>
      <w:r>
        <w:rPr>
          <w:rFonts w:hint="eastAsia" w:ascii="仿宋" w:hAnsi="仿宋" w:eastAsia="仿宋" w:cs="仿宋"/>
          <w:b/>
          <w:color w:val="auto"/>
          <w:sz w:val="28"/>
          <w:szCs w:val="28"/>
        </w:rPr>
        <w:t>二、评标标准</w:t>
      </w:r>
    </w:p>
    <w:p>
      <w:pPr>
        <w:spacing w:line="360" w:lineRule="auto"/>
        <w:ind w:firstLine="472" w:firstLineChars="196"/>
        <w:rPr>
          <w:rFonts w:hint="eastAsia" w:ascii="仿宋" w:hAnsi="仿宋" w:eastAsia="仿宋" w:cs="仿宋"/>
          <w:b/>
          <w:color w:val="auto"/>
          <w:sz w:val="24"/>
        </w:rPr>
      </w:pPr>
      <w:r>
        <w:rPr>
          <w:rFonts w:hint="eastAsia" w:ascii="仿宋" w:hAnsi="仿宋" w:eastAsia="仿宋" w:cs="仿宋"/>
          <w:b/>
          <w:color w:val="auto"/>
          <w:sz w:val="24"/>
        </w:rPr>
        <w:t>2.</w:t>
      </w:r>
      <w:r>
        <w:rPr>
          <w:rFonts w:hint="eastAsia" w:ascii="仿宋" w:hAnsi="仿宋" w:eastAsia="仿宋" w:cs="仿宋"/>
          <w:color w:val="auto"/>
        </w:rPr>
        <w:t xml:space="preserve"> </w:t>
      </w:r>
      <w:r>
        <w:rPr>
          <w:rFonts w:hint="eastAsia" w:ascii="仿宋" w:hAnsi="仿宋" w:eastAsia="仿宋" w:cs="仿宋"/>
          <w:b/>
          <w:color w:val="auto"/>
          <w:sz w:val="24"/>
        </w:rPr>
        <w:t>评标标准：</w:t>
      </w:r>
      <w:r>
        <w:rPr>
          <w:rFonts w:hint="eastAsia" w:ascii="仿宋" w:hAnsi="仿宋" w:eastAsia="仿宋" w:cs="仿宋"/>
          <w:color w:val="auto"/>
          <w:kern w:val="0"/>
          <w:sz w:val="24"/>
        </w:rPr>
        <w:t>见评标办法前附表。</w:t>
      </w:r>
    </w:p>
    <w:p>
      <w:pPr>
        <w:spacing w:line="360" w:lineRule="auto"/>
        <w:outlineLvl w:val="0"/>
        <w:rPr>
          <w:rFonts w:hint="eastAsia" w:ascii="仿宋" w:hAnsi="仿宋" w:eastAsia="仿宋" w:cs="仿宋"/>
          <w:b/>
          <w:color w:val="auto"/>
          <w:sz w:val="28"/>
          <w:szCs w:val="28"/>
        </w:rPr>
      </w:pPr>
      <w:r>
        <w:rPr>
          <w:rFonts w:hint="eastAsia" w:ascii="仿宋" w:hAnsi="仿宋" w:eastAsia="仿宋" w:cs="仿宋"/>
          <w:b/>
          <w:color w:val="auto"/>
          <w:sz w:val="28"/>
          <w:szCs w:val="28"/>
        </w:rPr>
        <w:t>三、评标程序</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3.1符合性审查。</w:t>
      </w:r>
      <w:r>
        <w:rPr>
          <w:rFonts w:hint="eastAsia" w:ascii="仿宋" w:hAnsi="仿宋" w:eastAsia="仿宋" w:cs="仿宋"/>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3.2 比较与评价。</w:t>
      </w:r>
      <w:r>
        <w:rPr>
          <w:rFonts w:hint="eastAsia" w:ascii="仿宋" w:hAnsi="仿宋" w:eastAsia="仿宋" w:cs="仿宋"/>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3.3汇总商务技术得分。</w:t>
      </w:r>
      <w:r>
        <w:rPr>
          <w:rFonts w:hint="eastAsia" w:ascii="仿宋" w:hAnsi="仿宋" w:eastAsia="仿宋" w:cs="仿宋"/>
          <w:color w:val="auto"/>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rPr>
      </w:pPr>
      <w:r>
        <w:rPr>
          <w:rFonts w:hint="eastAsia" w:ascii="仿宋" w:hAnsi="仿宋" w:eastAsia="仿宋" w:cs="仿宋"/>
          <w:b/>
          <w:color w:val="auto"/>
          <w:kern w:val="0"/>
          <w:sz w:val="24"/>
        </w:rPr>
        <w:t>3.4报价评审。</w:t>
      </w:r>
    </w:p>
    <w:p>
      <w:pPr>
        <w:pStyle w:val="132"/>
        <w:spacing w:before="0"/>
        <w:ind w:firstLine="508" w:firstLineChars="212"/>
        <w:rPr>
          <w:rFonts w:hint="eastAsia" w:ascii="仿宋" w:hAnsi="仿宋" w:eastAsia="仿宋" w:cs="仿宋"/>
          <w:color w:val="auto"/>
          <w:kern w:val="0"/>
        </w:rPr>
      </w:pPr>
      <w:r>
        <w:rPr>
          <w:rFonts w:hint="eastAsia" w:ascii="仿宋" w:hAnsi="仿宋" w:eastAsia="仿宋" w:cs="仿宋"/>
          <w:color w:val="auto"/>
          <w:kern w:val="0"/>
        </w:rPr>
        <w:t>3.4.1投标文件报价出现前后不一致的，按照下列规定修正：</w:t>
      </w:r>
    </w:p>
    <w:p>
      <w:pPr>
        <w:pStyle w:val="132"/>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3.4.1.1投标文件中开标一览表(报价表)内容与投标文件中相应内容不一致的，以开标一览表(报价表)为准;</w:t>
      </w:r>
    </w:p>
    <w:p>
      <w:pPr>
        <w:pStyle w:val="132"/>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3.4.1.2大写金额和小写金额不一致的，以大写金额为准;</w:t>
      </w:r>
    </w:p>
    <w:p>
      <w:pPr>
        <w:pStyle w:val="132"/>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3.4.1.3单价金额小数点或者百分比有明显错位的，以开标一览表的总价为准，并修改单价;</w:t>
      </w:r>
    </w:p>
    <w:p>
      <w:pPr>
        <w:pStyle w:val="132"/>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3.4.1.4总价金额与按单价汇总金额不一致的，以单价金额计算结果为准。</w:t>
      </w:r>
    </w:p>
    <w:p>
      <w:pPr>
        <w:pStyle w:val="132"/>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3.4.3投标报价超过招标文件中规定的预算金额或者最高限价的，投标无效。</w:t>
      </w:r>
    </w:p>
    <w:p>
      <w:pPr>
        <w:pStyle w:val="132"/>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2"/>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3.4.5对于未预留份额专门面向中小企业的采购货物项目，以及预留份额采购货物项目中的非预留部分标项，对小型和微型企业的投标报价给</w:t>
      </w:r>
      <w:r>
        <w:rPr>
          <w:rFonts w:hint="eastAsia" w:ascii="仿宋" w:hAnsi="仿宋" w:eastAsia="仿宋" w:cs="仿宋"/>
          <w:color w:val="auto"/>
          <w:kern w:val="0"/>
          <w:szCs w:val="24"/>
          <w:highlight w:val="none"/>
        </w:rPr>
        <w:t>予</w:t>
      </w:r>
      <w:r>
        <w:rPr>
          <w:rFonts w:hint="eastAsia" w:ascii="仿宋" w:hAnsi="仿宋" w:eastAsia="仿宋" w:cs="仿宋"/>
          <w:color w:val="auto"/>
          <w:kern w:val="0"/>
          <w:szCs w:val="24"/>
          <w:highlight w:val="none"/>
          <w:lang w:val="en-US" w:eastAsia="zh-CN"/>
        </w:rPr>
        <w:t>10%</w:t>
      </w:r>
      <w:r>
        <w:rPr>
          <w:rFonts w:hint="eastAsia" w:ascii="仿宋" w:hAnsi="仿宋" w:eastAsia="仿宋" w:cs="仿宋"/>
          <w:color w:val="auto"/>
          <w:kern w:val="0"/>
          <w:szCs w:val="24"/>
          <w:highlight w:val="none"/>
        </w:rPr>
        <w:t>的扣除，用扣除后的价格参与评审。接受大中型企业与小微企业组成联合体或者允许大中型企业向一家或者多家小微企业分包的采购货物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w:t>
      </w:r>
      <w:r>
        <w:rPr>
          <w:rFonts w:hint="eastAsia" w:ascii="仿宋" w:hAnsi="仿宋" w:eastAsia="仿宋" w:cs="仿宋"/>
          <w:color w:val="auto"/>
          <w:kern w:val="0"/>
          <w:szCs w:val="24"/>
        </w:rPr>
        <w:t>股、管理关系的，不享受价格扣除优惠政策。</w:t>
      </w:r>
    </w:p>
    <w:p>
      <w:pPr>
        <w:spacing w:line="360" w:lineRule="auto"/>
        <w:ind w:firstLine="482" w:firstLineChars="200"/>
        <w:rPr>
          <w:rFonts w:hint="eastAsia" w:ascii="仿宋" w:hAnsi="仿宋" w:eastAsia="仿宋" w:cs="仿宋"/>
          <w:color w:val="auto"/>
          <w:kern w:val="0"/>
          <w:sz w:val="24"/>
        </w:rPr>
      </w:pPr>
      <w:r>
        <w:rPr>
          <w:rFonts w:hint="eastAsia" w:ascii="仿宋" w:hAnsi="仿宋" w:eastAsia="仿宋" w:cs="仿宋"/>
          <w:b/>
          <w:color w:val="auto"/>
          <w:kern w:val="0"/>
          <w:sz w:val="24"/>
        </w:rPr>
        <w:t>3.5排序与推荐。</w:t>
      </w:r>
      <w:r>
        <w:rPr>
          <w:rFonts w:hint="eastAsia" w:ascii="仿宋" w:hAnsi="仿宋" w:eastAsia="仿宋" w:cs="仿宋"/>
          <w:color w:val="auto"/>
          <w:kern w:val="0"/>
          <w:sz w:val="24"/>
        </w:rPr>
        <w:t>采用综合评分法的，评标结果按评审后得分由高到低顺序排列。得分相同的，按投标报价由低到高顺序排列。</w:t>
      </w:r>
      <w:r>
        <w:rPr>
          <w:rFonts w:hint="eastAsia" w:ascii="仿宋" w:hAnsi="仿宋" w:eastAsia="仿宋" w:cs="仿宋"/>
          <w:color w:val="auto"/>
          <w:kern w:val="0"/>
          <w:sz w:val="24"/>
          <w:highlight w:val="none"/>
        </w:rPr>
        <w:t>得分且投标报价相同的</w:t>
      </w:r>
      <w:r>
        <w:rPr>
          <w:rFonts w:hint="eastAsia" w:ascii="仿宋" w:hAnsi="仿宋" w:eastAsia="仿宋" w:cs="仿宋"/>
          <w:color w:val="auto"/>
          <w:sz w:val="24"/>
          <w:szCs w:val="21"/>
          <w:lang w:val="zh-CN"/>
        </w:rPr>
        <w:t>按技术得分由高到低顺序排列。</w:t>
      </w:r>
      <w:r>
        <w:rPr>
          <w:rFonts w:hint="eastAsia" w:ascii="仿宋" w:hAnsi="仿宋" w:eastAsia="仿宋" w:cs="仿宋"/>
          <w:color w:val="auto"/>
          <w:kern w:val="0"/>
          <w:sz w:val="24"/>
        </w:rPr>
        <w:t>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color w:val="auto"/>
          <w:kern w:val="0"/>
          <w:sz w:val="24"/>
        </w:rPr>
      </w:pPr>
      <w:r>
        <w:rPr>
          <w:rFonts w:hint="eastAsia" w:ascii="仿宋" w:hAnsi="仿宋" w:eastAsia="仿宋" w:cs="仿宋"/>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3.6编写评标报告。</w:t>
      </w:r>
      <w:r>
        <w:rPr>
          <w:rFonts w:hint="eastAsia" w:ascii="仿宋" w:hAnsi="仿宋" w:eastAsia="仿宋" w:cs="仿宋"/>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rPr>
      </w:pPr>
      <w:r>
        <w:rPr>
          <w:rFonts w:hint="eastAsia" w:ascii="仿宋" w:hAnsi="仿宋" w:eastAsia="仿宋" w:cs="仿宋"/>
          <w:b/>
          <w:color w:val="auto"/>
          <w:sz w:val="32"/>
        </w:rPr>
        <w:t>四、评标中的其他事项</w:t>
      </w:r>
    </w:p>
    <w:p>
      <w:pPr>
        <w:pStyle w:val="132"/>
        <w:spacing w:before="0"/>
        <w:ind w:firstLine="472" w:firstLineChars="196"/>
        <w:rPr>
          <w:rFonts w:hint="eastAsia" w:ascii="仿宋" w:hAnsi="仿宋" w:eastAsia="仿宋" w:cs="仿宋"/>
          <w:color w:val="auto"/>
          <w:kern w:val="0"/>
          <w:szCs w:val="24"/>
        </w:rPr>
      </w:pPr>
      <w:r>
        <w:rPr>
          <w:rFonts w:hint="eastAsia" w:ascii="仿宋" w:hAnsi="仿宋" w:eastAsia="仿宋" w:cs="仿宋"/>
          <w:b/>
          <w:color w:val="auto"/>
          <w:kern w:val="0"/>
          <w:szCs w:val="24"/>
        </w:rPr>
        <w:t>4.1投标人澄清、说明或者补正。</w:t>
      </w:r>
      <w:r>
        <w:rPr>
          <w:rFonts w:hint="eastAsia" w:ascii="仿宋" w:hAnsi="仿宋" w:eastAsia="仿宋" w:cs="仿宋"/>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w:t>
      </w:r>
      <w:r>
        <w:rPr>
          <w:rFonts w:hint="eastAsia" w:ascii="仿宋" w:hAnsi="仿宋" w:eastAsia="仿宋" w:cs="仿宋"/>
          <w:color w:val="auto"/>
          <w:kern w:val="0"/>
          <w:szCs w:val="24"/>
          <w:highlight w:val="none"/>
        </w:rPr>
        <w:t>说明或补正的时间不得少于半小时，</w:t>
      </w:r>
      <w:r>
        <w:rPr>
          <w:rFonts w:hint="eastAsia" w:ascii="仿宋" w:hAnsi="仿宋" w:eastAsia="仿宋" w:cs="仿宋"/>
          <w:color w:val="auto"/>
          <w:kern w:val="0"/>
          <w:szCs w:val="24"/>
        </w:rPr>
        <w:t>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hint="eastAsia" w:ascii="仿宋" w:hAnsi="仿宋" w:eastAsia="仿宋" w:cs="仿宋"/>
          <w:color w:val="auto"/>
          <w:szCs w:val="21"/>
        </w:rPr>
      </w:pPr>
      <w:r>
        <w:rPr>
          <w:rFonts w:hint="eastAsia" w:ascii="仿宋" w:hAnsi="仿宋" w:eastAsia="仿宋" w:cs="仿宋"/>
          <w:b/>
          <w:color w:val="auto"/>
          <w:kern w:val="0"/>
        </w:rPr>
        <w:t>4.2投标无效。</w:t>
      </w:r>
      <w:r>
        <w:rPr>
          <w:rFonts w:hint="eastAsia" w:ascii="仿宋" w:hAnsi="仿宋" w:eastAsia="仿宋" w:cs="仿宋"/>
          <w:color w:val="auto"/>
          <w:szCs w:val="21"/>
        </w:rPr>
        <w:t>有下列情形之一的，投标无效：</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4.2.2投标文件未按照招标文件要求签署、盖章的；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4.2.4投标文件含有采购人不能接受的附加条件的；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rPr>
      </w:pPr>
      <w:r>
        <w:rPr>
          <w:rFonts w:hint="eastAsia" w:ascii="仿宋" w:hAnsi="仿宋" w:eastAsia="仿宋" w:cs="仿宋"/>
          <w:color w:val="auto"/>
          <w:kern w:val="0"/>
          <w:sz w:val="24"/>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4.2.9投标人对根据修正原则修正后的报价不确认的；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4.2.10投标人提供虚假材料投标的；</w:t>
      </w:r>
    </w:p>
    <w:p>
      <w:pPr>
        <w:spacing w:line="360" w:lineRule="auto"/>
        <w:ind w:firstLine="240" w:firstLineChars="100"/>
        <w:rPr>
          <w:rFonts w:hint="eastAsia" w:ascii="仿宋" w:hAnsi="仿宋" w:eastAsia="仿宋" w:cs="仿宋"/>
          <w:color w:val="auto"/>
          <w:kern w:val="0"/>
          <w:sz w:val="24"/>
        </w:rPr>
      </w:pPr>
      <w:r>
        <w:rPr>
          <w:rFonts w:hint="eastAsia" w:ascii="仿宋" w:hAnsi="仿宋" w:eastAsia="仿宋" w:cs="仿宋"/>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4.2.12投标人仅提交备份投标文件，未在电子交易平台传输递交投标文件的，投标无效；</w:t>
      </w:r>
    </w:p>
    <w:p>
      <w:pPr>
        <w:pStyle w:val="6"/>
        <w:ind w:left="862" w:leftChars="205"/>
        <w:rPr>
          <w:rFonts w:hint="eastAsia" w:ascii="仿宋" w:hAnsi="仿宋" w:eastAsia="仿宋" w:cs="仿宋"/>
          <w:b w:val="0"/>
          <w:bCs w:val="0"/>
          <w:color w:val="auto"/>
          <w:kern w:val="0"/>
          <w:sz w:val="24"/>
          <w:szCs w:val="24"/>
          <w:lang w:val="en-US"/>
        </w:rPr>
      </w:pPr>
      <w:r>
        <w:rPr>
          <w:rFonts w:hint="eastAsia" w:ascii="仿宋" w:hAnsi="仿宋" w:eastAsia="仿宋" w:cs="仿宋"/>
          <w:b w:val="0"/>
          <w:bCs w:val="0"/>
          <w:color w:val="auto"/>
          <w:kern w:val="0"/>
          <w:sz w:val="24"/>
          <w:szCs w:val="24"/>
          <w:lang w:val="en-US"/>
        </w:rPr>
        <w:t>4.2.13 投标文件不满足招标文件的其它实质性要求的；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4.2.14法律、法规、规章（适用本市的）及省级以上规范性文件（适用本市的）规定的其他无效情形。</w:t>
      </w:r>
    </w:p>
    <w:p>
      <w:pPr>
        <w:pStyle w:val="27"/>
        <w:snapToGrid w:val="0"/>
        <w:spacing w:line="360" w:lineRule="auto"/>
        <w:ind w:firstLine="472" w:firstLineChars="196"/>
        <w:rPr>
          <w:rFonts w:hint="eastAsia" w:ascii="仿宋" w:hAnsi="仿宋" w:eastAsia="仿宋" w:cs="仿宋"/>
          <w:color w:val="auto"/>
        </w:rPr>
      </w:pPr>
      <w:r>
        <w:rPr>
          <w:rFonts w:hint="eastAsia" w:ascii="仿宋" w:hAnsi="仿宋" w:eastAsia="仿宋" w:cs="仿宋"/>
          <w:b/>
          <w:color w:val="auto"/>
        </w:rPr>
        <w:t>5.废标。</w:t>
      </w:r>
      <w:r>
        <w:rPr>
          <w:rFonts w:hint="eastAsia" w:ascii="仿宋" w:hAnsi="仿宋" w:eastAsia="仿宋" w:cs="仿宋"/>
          <w:color w:val="auto"/>
        </w:rPr>
        <w:t>根据《中华人民共和国政府采购法》第三十六条之规定，在采购中，出现下列情形之一的，应予废标：</w:t>
      </w:r>
    </w:p>
    <w:p>
      <w:pPr>
        <w:pStyle w:val="27"/>
        <w:snapToGrid w:val="0"/>
        <w:spacing w:line="360" w:lineRule="auto"/>
        <w:rPr>
          <w:rFonts w:hint="eastAsia" w:ascii="仿宋" w:hAnsi="仿宋" w:eastAsia="仿宋" w:cs="仿宋"/>
          <w:color w:val="auto"/>
        </w:rPr>
      </w:pPr>
      <w:r>
        <w:rPr>
          <w:rFonts w:hint="eastAsia" w:ascii="仿宋" w:hAnsi="仿宋" w:eastAsia="仿宋" w:cs="仿宋"/>
          <w:color w:val="auto"/>
        </w:rPr>
        <w:t>5.1符合专业条件的供应商或者对招标文件作实质响应的供应商不足3家的；</w:t>
      </w:r>
    </w:p>
    <w:p>
      <w:pPr>
        <w:pStyle w:val="27"/>
        <w:snapToGrid w:val="0"/>
        <w:spacing w:line="360" w:lineRule="auto"/>
        <w:rPr>
          <w:rFonts w:hint="eastAsia" w:ascii="仿宋" w:hAnsi="仿宋" w:eastAsia="仿宋" w:cs="仿宋"/>
          <w:color w:val="auto"/>
        </w:rPr>
      </w:pPr>
      <w:r>
        <w:rPr>
          <w:rFonts w:hint="eastAsia" w:ascii="仿宋" w:hAnsi="仿宋" w:eastAsia="仿宋" w:cs="仿宋"/>
          <w:color w:val="auto"/>
        </w:rPr>
        <w:t>5.2出现影响采购公正的违法、违规行为的；</w:t>
      </w:r>
    </w:p>
    <w:p>
      <w:pPr>
        <w:pStyle w:val="27"/>
        <w:snapToGrid w:val="0"/>
        <w:spacing w:line="360" w:lineRule="auto"/>
        <w:rPr>
          <w:rFonts w:hint="eastAsia" w:ascii="仿宋" w:hAnsi="仿宋" w:eastAsia="仿宋" w:cs="仿宋"/>
          <w:color w:val="auto"/>
        </w:rPr>
      </w:pPr>
      <w:r>
        <w:rPr>
          <w:rFonts w:hint="eastAsia" w:ascii="仿宋" w:hAnsi="仿宋" w:eastAsia="仿宋" w:cs="仿宋"/>
          <w:color w:val="auto"/>
        </w:rPr>
        <w:t>5.3投标人的报价均超过了采购预算，采购人不能支付的；</w:t>
      </w:r>
    </w:p>
    <w:p>
      <w:pPr>
        <w:pStyle w:val="27"/>
        <w:snapToGrid w:val="0"/>
        <w:spacing w:line="360" w:lineRule="auto"/>
        <w:rPr>
          <w:rFonts w:hint="eastAsia" w:ascii="仿宋" w:hAnsi="仿宋" w:eastAsia="仿宋" w:cs="仿宋"/>
          <w:color w:val="auto"/>
        </w:rPr>
      </w:pPr>
      <w:r>
        <w:rPr>
          <w:rFonts w:hint="eastAsia" w:ascii="仿宋" w:hAnsi="仿宋" w:eastAsia="仿宋" w:cs="仿宋"/>
          <w:color w:val="auto"/>
        </w:rPr>
        <w:t>5.4因重大变故，采购任务取消的。</w:t>
      </w:r>
    </w:p>
    <w:p>
      <w:pPr>
        <w:pStyle w:val="27"/>
        <w:snapToGrid w:val="0"/>
        <w:spacing w:line="360" w:lineRule="auto"/>
        <w:rPr>
          <w:rFonts w:hint="eastAsia" w:ascii="仿宋" w:hAnsi="仿宋" w:eastAsia="仿宋" w:cs="仿宋"/>
          <w:color w:val="auto"/>
        </w:rPr>
      </w:pPr>
      <w:r>
        <w:rPr>
          <w:rFonts w:hint="eastAsia" w:ascii="仿宋" w:hAnsi="仿宋" w:eastAsia="仿宋" w:cs="仿宋"/>
          <w:color w:val="auto"/>
        </w:rPr>
        <w:t>废标后，采购代理机构应当将废标理由通知所有投标人。</w:t>
      </w:r>
    </w:p>
    <w:p>
      <w:pPr>
        <w:pStyle w:val="27"/>
        <w:snapToGrid w:val="0"/>
        <w:spacing w:line="360" w:lineRule="auto"/>
        <w:ind w:firstLine="590" w:firstLineChars="245"/>
        <w:rPr>
          <w:rFonts w:hint="eastAsia" w:ascii="仿宋" w:hAnsi="仿宋" w:eastAsia="仿宋" w:cs="仿宋"/>
          <w:color w:val="auto"/>
        </w:rPr>
      </w:pPr>
      <w:r>
        <w:rPr>
          <w:rFonts w:hint="eastAsia" w:ascii="仿宋" w:hAnsi="仿宋" w:eastAsia="仿宋" w:cs="仿宋"/>
          <w:b/>
          <w:color w:val="auto"/>
        </w:rPr>
        <w:t>6.修改招标文件，重新组织采购活动。</w:t>
      </w:r>
      <w:r>
        <w:rPr>
          <w:rFonts w:hint="eastAsia" w:ascii="仿宋" w:hAnsi="仿宋" w:eastAsia="仿宋" w:cs="仿宋"/>
          <w:color w:val="auto"/>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7"/>
        <w:snapToGrid w:val="0"/>
        <w:spacing w:line="360" w:lineRule="auto"/>
        <w:ind w:firstLine="482"/>
        <w:rPr>
          <w:rFonts w:hint="eastAsia" w:ascii="仿宋" w:hAnsi="仿宋" w:eastAsia="仿宋" w:cs="仿宋"/>
          <w:color w:val="auto"/>
        </w:rPr>
      </w:pPr>
      <w:r>
        <w:rPr>
          <w:rFonts w:hint="eastAsia" w:ascii="仿宋" w:hAnsi="仿宋" w:eastAsia="仿宋" w:cs="仿宋"/>
          <w:b/>
          <w:color w:val="auto"/>
          <w:kern w:val="0"/>
        </w:rPr>
        <w:t>7.重新开展采购。</w:t>
      </w:r>
      <w:r>
        <w:rPr>
          <w:rFonts w:hint="eastAsia" w:ascii="仿宋" w:hAnsi="仿宋" w:eastAsia="仿宋" w:cs="仿宋"/>
          <w:color w:val="auto"/>
        </w:rPr>
        <w:t>有政府采购法第七十一条、第七十二条规定的违法行为之一，影响或者可能影响中标结果的，依照下列规定处理：</w:t>
      </w:r>
    </w:p>
    <w:p>
      <w:pPr>
        <w:pStyle w:val="27"/>
        <w:snapToGrid w:val="0"/>
        <w:spacing w:line="360" w:lineRule="auto"/>
        <w:rPr>
          <w:rFonts w:hint="eastAsia" w:ascii="仿宋" w:hAnsi="仿宋" w:eastAsia="仿宋" w:cs="仿宋"/>
          <w:color w:val="auto"/>
        </w:rPr>
      </w:pPr>
      <w:r>
        <w:rPr>
          <w:rFonts w:hint="eastAsia" w:ascii="仿宋" w:hAnsi="仿宋" w:eastAsia="仿宋" w:cs="仿宋"/>
          <w:color w:val="auto"/>
        </w:rPr>
        <w:t>7.1未确定中标供应商的，终止本次采购活动，重新开展采购活动。</w:t>
      </w:r>
    </w:p>
    <w:p>
      <w:pPr>
        <w:pStyle w:val="27"/>
        <w:snapToGrid w:val="0"/>
        <w:spacing w:line="360" w:lineRule="auto"/>
        <w:rPr>
          <w:rFonts w:hint="eastAsia" w:ascii="仿宋" w:hAnsi="仿宋" w:eastAsia="仿宋" w:cs="仿宋"/>
          <w:color w:val="auto"/>
        </w:rPr>
      </w:pPr>
      <w:r>
        <w:rPr>
          <w:rFonts w:hint="eastAsia" w:ascii="仿宋" w:hAnsi="仿宋" w:eastAsia="仿宋" w:cs="仿宋"/>
          <w:color w:val="auto"/>
        </w:rPr>
        <w:t>7.2已确定中标供应商但尚未签订采购合同的，中标结果无效，从合格的中标候选人中另行确定中标供应商；没有合格的中标候选人的，重新开展采购活动。</w:t>
      </w:r>
    </w:p>
    <w:p>
      <w:pPr>
        <w:pStyle w:val="27"/>
        <w:snapToGrid w:val="0"/>
        <w:spacing w:line="360" w:lineRule="auto"/>
        <w:rPr>
          <w:rFonts w:hint="eastAsia" w:ascii="仿宋" w:hAnsi="仿宋" w:eastAsia="仿宋" w:cs="仿宋"/>
          <w:color w:val="auto"/>
        </w:rPr>
      </w:pPr>
      <w:r>
        <w:rPr>
          <w:rFonts w:hint="eastAsia" w:ascii="仿宋" w:hAnsi="仿宋" w:eastAsia="仿宋" w:cs="仿宋"/>
          <w:color w:val="auto"/>
        </w:rPr>
        <w:t>7.3采购合同已签订但尚未履行的，撤销合同，从合格的中标候选人中另行确定中标供应商；没有合格的中标候选人的，重新开展采购活动。</w:t>
      </w:r>
    </w:p>
    <w:p>
      <w:pPr>
        <w:pStyle w:val="27"/>
        <w:snapToGrid w:val="0"/>
        <w:spacing w:line="360" w:lineRule="auto"/>
        <w:rPr>
          <w:rFonts w:hint="eastAsia" w:ascii="仿宋" w:hAnsi="仿宋" w:eastAsia="仿宋" w:cs="仿宋"/>
          <w:color w:val="auto"/>
        </w:rPr>
      </w:pPr>
      <w:r>
        <w:rPr>
          <w:rFonts w:hint="eastAsia" w:ascii="仿宋" w:hAnsi="仿宋" w:eastAsia="仿宋" w:cs="仿宋"/>
          <w:color w:val="auto"/>
        </w:rPr>
        <w:t>7.4采购合同已经履行，给采购人、供应商造成损失的，由责任人承担赔偿责任。</w:t>
      </w:r>
    </w:p>
    <w:p>
      <w:pPr>
        <w:pStyle w:val="27"/>
        <w:snapToGrid w:val="0"/>
        <w:spacing w:line="360" w:lineRule="auto"/>
        <w:rPr>
          <w:rFonts w:hint="eastAsia" w:ascii="仿宋" w:hAnsi="仿宋" w:eastAsia="仿宋" w:cs="仿宋"/>
          <w:color w:val="auto"/>
        </w:rPr>
      </w:pPr>
      <w:r>
        <w:rPr>
          <w:rFonts w:hint="eastAsia" w:ascii="仿宋" w:hAnsi="仿宋" w:eastAsia="仿宋" w:cs="仿宋"/>
          <w:color w:val="auto"/>
        </w:rPr>
        <w:t>7.5采购当事人有其他违反政府采购法或者政府采购法实施条例等法律法规规定的行为，经改正后仍然影响或者可能影响中标结果或者依法被认定为中标无效的，依照7.1-7.4规定处理。</w:t>
      </w:r>
    </w:p>
    <w:p>
      <w:pPr>
        <w:pStyle w:val="27"/>
        <w:snapToGrid w:val="0"/>
        <w:spacing w:line="360" w:lineRule="auto"/>
        <w:ind w:firstLine="0" w:firstLineChars="0"/>
        <w:rPr>
          <w:rFonts w:hint="eastAsia" w:ascii="仿宋" w:hAnsi="仿宋" w:eastAsia="仿宋" w:cs="仿宋"/>
          <w:color w:val="auto"/>
        </w:rPr>
      </w:pPr>
    </w:p>
    <w:bookmarkEnd w:id="29"/>
    <w:p>
      <w:pPr>
        <w:spacing w:line="360" w:lineRule="auto"/>
        <w:ind w:left="720" w:leftChars="343" w:firstLine="1084" w:firstLineChars="300"/>
        <w:outlineLvl w:val="0"/>
        <w:rPr>
          <w:rFonts w:hint="eastAsia" w:ascii="仿宋" w:hAnsi="仿宋" w:eastAsia="仿宋" w:cs="仿宋"/>
          <w:b/>
          <w:color w:val="auto"/>
          <w:sz w:val="36"/>
          <w:szCs w:val="36"/>
        </w:rPr>
      </w:pPr>
      <w:bookmarkStart w:id="395" w:name="第五部分"/>
      <w:bookmarkStart w:id="396" w:name="_Toc86217003"/>
    </w:p>
    <w:p>
      <w:pPr>
        <w:spacing w:line="360" w:lineRule="auto"/>
        <w:ind w:left="720" w:leftChars="343" w:firstLine="1084" w:firstLineChars="300"/>
        <w:outlineLvl w:val="0"/>
        <w:rPr>
          <w:rFonts w:hint="eastAsia" w:ascii="仿宋" w:hAnsi="仿宋" w:eastAsia="仿宋" w:cs="仿宋"/>
          <w:b/>
          <w:color w:val="auto"/>
          <w:sz w:val="36"/>
          <w:szCs w:val="36"/>
        </w:rPr>
        <w:sectPr>
          <w:pgSz w:w="11907" w:h="16840"/>
          <w:pgMar w:top="1474" w:right="1814" w:bottom="1474" w:left="1814" w:header="851" w:footer="851" w:gutter="0"/>
          <w:cols w:space="720" w:num="1"/>
        </w:sectPr>
      </w:pPr>
    </w:p>
    <w:p>
      <w:pPr>
        <w:spacing w:line="360" w:lineRule="auto"/>
        <w:ind w:left="720" w:leftChars="343" w:firstLine="1084" w:firstLineChars="300"/>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第五部分 拟签订的合同文本</w:t>
      </w:r>
    </w:p>
    <w:p>
      <w:pPr>
        <w:rPr>
          <w:rFonts w:hint="eastAsia" w:ascii="仿宋" w:hAnsi="仿宋" w:eastAsia="仿宋" w:cs="仿宋"/>
          <w:color w:val="auto"/>
          <w:sz w:val="24"/>
          <w:u w:val="single"/>
        </w:rPr>
      </w:pPr>
      <w:r>
        <w:rPr>
          <w:rFonts w:hint="eastAsia" w:ascii="仿宋" w:hAnsi="仿宋" w:eastAsia="仿宋" w:cs="仿宋"/>
          <w:color w:val="auto"/>
          <w:sz w:val="24"/>
        </w:rPr>
        <w:t>合同编号：</w:t>
      </w:r>
      <w:r>
        <w:rPr>
          <w:rFonts w:hint="eastAsia" w:ascii="仿宋" w:hAnsi="仿宋" w:eastAsia="仿宋" w:cs="仿宋"/>
          <w:color w:val="auto"/>
          <w:sz w:val="24"/>
          <w:u w:val="single"/>
        </w:rPr>
        <w:t xml:space="preserve">           </w:t>
      </w:r>
    </w:p>
    <w:p>
      <w:pPr>
        <w:spacing w:line="480" w:lineRule="auto"/>
        <w:jc w:val="center"/>
        <w:rPr>
          <w:rFonts w:hint="eastAsia" w:ascii="仿宋" w:hAnsi="仿宋" w:eastAsia="仿宋" w:cs="仿宋"/>
          <w:b/>
          <w:color w:val="auto"/>
          <w:sz w:val="28"/>
          <w:szCs w:val="28"/>
        </w:rPr>
      </w:pPr>
    </w:p>
    <w:p>
      <w:pPr>
        <w:spacing w:line="480" w:lineRule="auto"/>
        <w:jc w:val="center"/>
        <w:rPr>
          <w:rFonts w:hint="eastAsia" w:ascii="仿宋" w:hAnsi="仿宋" w:eastAsia="仿宋" w:cs="仿宋"/>
          <w:b/>
          <w:color w:val="auto"/>
          <w:sz w:val="24"/>
        </w:rPr>
      </w:pPr>
    </w:p>
    <w:p>
      <w:pPr>
        <w:spacing w:line="48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采购合同参考范本</w:t>
      </w:r>
    </w:p>
    <w:p>
      <w:pPr>
        <w:spacing w:line="48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（货物类）</w:t>
      </w:r>
    </w:p>
    <w:p>
      <w:pPr>
        <w:pStyle w:val="700"/>
        <w:rPr>
          <w:rFonts w:hint="eastAsia" w:ascii="仿宋" w:hAnsi="仿宋" w:eastAsia="仿宋" w:cs="仿宋"/>
          <w:color w:val="auto"/>
          <w:szCs w:val="24"/>
        </w:rPr>
      </w:pPr>
    </w:p>
    <w:p>
      <w:pPr>
        <w:pStyle w:val="700"/>
        <w:rPr>
          <w:rFonts w:hint="eastAsia" w:ascii="仿宋" w:hAnsi="仿宋" w:eastAsia="仿宋" w:cs="仿宋"/>
          <w:color w:val="auto"/>
          <w:szCs w:val="24"/>
        </w:rPr>
      </w:pPr>
    </w:p>
    <w:p>
      <w:pPr>
        <w:pStyle w:val="700"/>
        <w:jc w:val="center"/>
        <w:rPr>
          <w:rFonts w:hint="eastAsia" w:ascii="仿宋" w:hAnsi="仿宋" w:eastAsia="仿宋" w:cs="仿宋"/>
          <w:color w:val="auto"/>
          <w:szCs w:val="24"/>
        </w:rPr>
      </w:pPr>
    </w:p>
    <w:p>
      <w:pPr>
        <w:pStyle w:val="700"/>
        <w:ind w:firstLine="2843" w:firstLineChars="1180"/>
        <w:rPr>
          <w:rFonts w:hint="eastAsia" w:ascii="仿宋" w:hAnsi="仿宋" w:eastAsia="仿宋" w:cs="仿宋"/>
          <w:b/>
          <w:color w:val="auto"/>
          <w:szCs w:val="24"/>
        </w:rPr>
      </w:pPr>
      <w:r>
        <w:rPr>
          <w:rFonts w:hint="eastAsia" w:ascii="仿宋" w:hAnsi="仿宋" w:eastAsia="仿宋" w:cs="仿宋"/>
          <w:b/>
          <w:color w:val="auto"/>
          <w:szCs w:val="24"/>
        </w:rPr>
        <w:t>第一部分 合同书</w:t>
      </w:r>
    </w:p>
    <w:p>
      <w:pPr>
        <w:pStyle w:val="700"/>
        <w:rPr>
          <w:rFonts w:hint="eastAsia" w:ascii="仿宋" w:hAnsi="仿宋" w:eastAsia="仿宋" w:cs="仿宋"/>
          <w:color w:val="auto"/>
          <w:szCs w:val="24"/>
        </w:rPr>
      </w:pPr>
    </w:p>
    <w:p>
      <w:pPr>
        <w:pStyle w:val="700"/>
        <w:rPr>
          <w:rFonts w:hint="eastAsia" w:ascii="仿宋" w:hAnsi="仿宋" w:eastAsia="仿宋" w:cs="仿宋"/>
          <w:color w:val="auto"/>
          <w:szCs w:val="24"/>
        </w:rPr>
      </w:pPr>
    </w:p>
    <w:p>
      <w:pPr>
        <w:spacing w:before="120" w:line="22" w:lineRule="atLeast"/>
        <w:rPr>
          <w:rFonts w:hint="eastAsia" w:ascii="仿宋" w:hAnsi="仿宋" w:eastAsia="仿宋" w:cs="仿宋"/>
          <w:color w:val="auto"/>
          <w:sz w:val="24"/>
        </w:rPr>
      </w:pPr>
    </w:p>
    <w:p>
      <w:pPr>
        <w:spacing w:before="120" w:line="22" w:lineRule="atLeast"/>
        <w:ind w:left="960"/>
        <w:rPr>
          <w:rFonts w:hint="eastAsia" w:ascii="仿宋" w:hAnsi="仿宋" w:eastAsia="仿宋" w:cs="仿宋"/>
          <w:color w:val="auto"/>
          <w:sz w:val="24"/>
        </w:rPr>
      </w:pPr>
      <w:r>
        <w:rPr>
          <w:rFonts w:hint="eastAsia" w:ascii="仿宋" w:hAnsi="仿宋" w:eastAsia="仿宋" w:cs="仿宋"/>
          <w:color w:val="auto"/>
          <w:sz w:val="24"/>
        </w:rPr>
        <w:t>项目名称：</w:t>
      </w:r>
      <w:r>
        <w:rPr>
          <w:rFonts w:hint="eastAsia" w:ascii="仿宋" w:hAnsi="仿宋" w:eastAsia="仿宋" w:cs="仿宋"/>
          <w:color w:val="auto"/>
          <w:sz w:val="24"/>
          <w:u w:val="single"/>
        </w:rPr>
        <w:t xml:space="preserve">                                   </w:t>
      </w:r>
    </w:p>
    <w:p>
      <w:pPr>
        <w:pStyle w:val="599"/>
        <w:spacing w:before="120" w:line="22" w:lineRule="atLeast"/>
        <w:rPr>
          <w:rFonts w:hint="eastAsia" w:ascii="仿宋" w:hAnsi="仿宋" w:eastAsia="仿宋" w:cs="仿宋"/>
          <w:color w:val="auto"/>
          <w:szCs w:val="24"/>
        </w:rPr>
      </w:pPr>
    </w:p>
    <w:p>
      <w:pPr>
        <w:pStyle w:val="599"/>
        <w:spacing w:before="120" w:line="22" w:lineRule="atLeast"/>
        <w:rPr>
          <w:rFonts w:hint="eastAsia" w:ascii="仿宋" w:hAnsi="仿宋" w:eastAsia="仿宋" w:cs="仿宋"/>
          <w:color w:val="auto"/>
          <w:szCs w:val="24"/>
        </w:rPr>
      </w:pPr>
    </w:p>
    <w:p>
      <w:pPr>
        <w:rPr>
          <w:rFonts w:hint="eastAsia" w:ascii="仿宋" w:hAnsi="仿宋" w:eastAsia="仿宋" w:cs="仿宋"/>
          <w:color w:val="auto"/>
          <w:sz w:val="24"/>
        </w:rPr>
      </w:pPr>
    </w:p>
    <w:p>
      <w:pPr>
        <w:spacing w:before="120" w:line="22" w:lineRule="atLeast"/>
        <w:ind w:left="960"/>
        <w:rPr>
          <w:rFonts w:hint="eastAsia" w:ascii="仿宋" w:hAnsi="仿宋" w:eastAsia="仿宋" w:cs="仿宋"/>
          <w:color w:val="auto"/>
          <w:sz w:val="24"/>
          <w:u w:val="single"/>
        </w:rPr>
      </w:pPr>
      <w:r>
        <w:rPr>
          <w:rFonts w:hint="eastAsia" w:ascii="仿宋" w:hAnsi="仿宋" w:eastAsia="仿宋" w:cs="仿宋"/>
          <w:color w:val="auto"/>
          <w:sz w:val="24"/>
        </w:rPr>
        <w:t>甲方：</w:t>
      </w:r>
      <w:r>
        <w:rPr>
          <w:rFonts w:hint="eastAsia" w:ascii="仿宋" w:hAnsi="仿宋" w:eastAsia="仿宋" w:cs="仿宋"/>
          <w:color w:val="auto"/>
          <w:sz w:val="24"/>
          <w:u w:val="single"/>
        </w:rPr>
        <w:t xml:space="preserve">                                       </w:t>
      </w:r>
    </w:p>
    <w:p>
      <w:pPr>
        <w:spacing w:before="120" w:line="22" w:lineRule="atLeast"/>
        <w:rPr>
          <w:rFonts w:hint="eastAsia" w:ascii="仿宋" w:hAnsi="仿宋" w:eastAsia="仿宋" w:cs="仿宋"/>
          <w:color w:val="auto"/>
          <w:sz w:val="24"/>
        </w:rPr>
      </w:pPr>
    </w:p>
    <w:p>
      <w:pPr>
        <w:spacing w:before="120" w:line="22" w:lineRule="atLeast"/>
        <w:ind w:left="960"/>
        <w:rPr>
          <w:rFonts w:hint="eastAsia" w:ascii="仿宋" w:hAnsi="仿宋" w:eastAsia="仿宋" w:cs="仿宋"/>
          <w:color w:val="auto"/>
          <w:sz w:val="24"/>
          <w:u w:val="single"/>
        </w:rPr>
      </w:pPr>
      <w:r>
        <w:rPr>
          <w:rFonts w:hint="eastAsia" w:ascii="仿宋" w:hAnsi="仿宋" w:eastAsia="仿宋" w:cs="仿宋"/>
          <w:color w:val="auto"/>
          <w:sz w:val="24"/>
        </w:rPr>
        <w:t>乙方：</w:t>
      </w:r>
      <w:r>
        <w:rPr>
          <w:rFonts w:hint="eastAsia" w:ascii="仿宋" w:hAnsi="仿宋" w:eastAsia="仿宋" w:cs="仿宋"/>
          <w:color w:val="auto"/>
          <w:sz w:val="24"/>
          <w:u w:val="single"/>
        </w:rPr>
        <w:t xml:space="preserve">                                       </w:t>
      </w:r>
    </w:p>
    <w:p>
      <w:pPr>
        <w:spacing w:before="120" w:line="22" w:lineRule="atLeast"/>
        <w:rPr>
          <w:rFonts w:hint="eastAsia" w:ascii="仿宋" w:hAnsi="仿宋" w:eastAsia="仿宋" w:cs="仿宋"/>
          <w:color w:val="auto"/>
          <w:sz w:val="24"/>
        </w:rPr>
      </w:pPr>
    </w:p>
    <w:p>
      <w:pPr>
        <w:spacing w:before="120" w:line="22" w:lineRule="atLeast"/>
        <w:ind w:firstLine="960" w:firstLineChars="400"/>
        <w:rPr>
          <w:rFonts w:hint="eastAsia" w:ascii="仿宋" w:hAnsi="仿宋" w:eastAsia="仿宋" w:cs="仿宋"/>
          <w:color w:val="auto"/>
          <w:sz w:val="24"/>
          <w:u w:val="single"/>
        </w:rPr>
      </w:pPr>
      <w:r>
        <w:rPr>
          <w:rFonts w:hint="eastAsia" w:ascii="仿宋" w:hAnsi="仿宋" w:eastAsia="仿宋" w:cs="仿宋"/>
          <w:color w:val="auto"/>
          <w:sz w:val="24"/>
        </w:rPr>
        <w:t>签订地：</w:t>
      </w:r>
      <w:r>
        <w:rPr>
          <w:rFonts w:hint="eastAsia" w:ascii="仿宋" w:hAnsi="仿宋" w:eastAsia="仿宋" w:cs="仿宋"/>
          <w:color w:val="auto"/>
          <w:sz w:val="24"/>
          <w:u w:val="single"/>
        </w:rPr>
        <w:t xml:space="preserve">                                     </w:t>
      </w:r>
    </w:p>
    <w:p>
      <w:pPr>
        <w:spacing w:before="120" w:line="22" w:lineRule="atLeast"/>
        <w:rPr>
          <w:rFonts w:hint="eastAsia" w:ascii="仿宋" w:hAnsi="仿宋" w:eastAsia="仿宋" w:cs="仿宋"/>
          <w:color w:val="auto"/>
          <w:sz w:val="24"/>
        </w:rPr>
      </w:pPr>
    </w:p>
    <w:p>
      <w:pPr>
        <w:spacing w:before="120" w:line="22" w:lineRule="atLeast"/>
        <w:ind w:firstLine="960" w:firstLineChars="400"/>
        <w:rPr>
          <w:rFonts w:hint="eastAsia" w:ascii="仿宋" w:hAnsi="仿宋" w:eastAsia="仿宋" w:cs="仿宋"/>
          <w:color w:val="auto"/>
          <w:sz w:val="24"/>
          <w:u w:val="single"/>
        </w:rPr>
      </w:pPr>
      <w:r>
        <w:rPr>
          <w:rFonts w:hint="eastAsia" w:ascii="仿宋" w:hAnsi="仿宋" w:eastAsia="仿宋" w:cs="仿宋"/>
          <w:color w:val="auto"/>
          <w:sz w:val="24"/>
        </w:rPr>
        <w:t>签订日期：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widowControl/>
        <w:jc w:val="left"/>
        <w:rPr>
          <w:rFonts w:hint="eastAsia" w:ascii="仿宋" w:hAnsi="仿宋" w:eastAsia="仿宋" w:cs="仿宋"/>
          <w:color w:val="auto"/>
          <w:kern w:val="0"/>
          <w:sz w:val="24"/>
        </w:rPr>
        <w:sectPr>
          <w:pgSz w:w="11907" w:h="16840"/>
          <w:pgMar w:top="1474" w:right="1814" w:bottom="1474" w:left="1814" w:header="851" w:footer="851" w:gutter="0"/>
          <w:cols w:space="720" w:num="1"/>
        </w:sectPr>
      </w:pP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年</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月</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日</w:t>
      </w:r>
      <w:r>
        <w:rPr>
          <w:rFonts w:hint="eastAsia" w:ascii="仿宋" w:hAnsi="仿宋" w:eastAsia="仿宋" w:cs="仿宋"/>
          <w:color w:val="auto"/>
          <w:sz w:val="24"/>
        </w:rPr>
        <w:t>，</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rPr>
        <w:t>以</w:t>
      </w:r>
      <w:r>
        <w:rPr>
          <w:rFonts w:hint="eastAsia" w:ascii="仿宋" w:hAnsi="仿宋" w:eastAsia="仿宋" w:cs="仿宋"/>
          <w:color w:val="auto"/>
          <w:sz w:val="24"/>
          <w:u w:val="single"/>
        </w:rPr>
        <w:t xml:space="preserve">   （采购方式）  </w:t>
      </w:r>
      <w:r>
        <w:rPr>
          <w:rFonts w:hint="eastAsia" w:ascii="仿宋" w:hAnsi="仿宋" w:eastAsia="仿宋" w:cs="仿宋"/>
          <w:color w:val="auto"/>
          <w:sz w:val="24"/>
        </w:rPr>
        <w:t>对</w:t>
      </w:r>
      <w:r>
        <w:rPr>
          <w:rFonts w:hint="eastAsia" w:ascii="仿宋" w:hAnsi="仿宋" w:eastAsia="仿宋" w:cs="仿宋"/>
          <w:color w:val="auto"/>
          <w:sz w:val="24"/>
          <w:u w:val="single"/>
        </w:rPr>
        <w:t xml:space="preserve">   （项目名称、编号）   </w:t>
      </w:r>
      <w:r>
        <w:rPr>
          <w:rFonts w:hint="eastAsia" w:ascii="仿宋" w:hAnsi="仿宋" w:eastAsia="仿宋" w:cs="仿宋"/>
          <w:color w:val="auto"/>
          <w:sz w:val="24"/>
        </w:rPr>
        <w:t>项目进行了采购。经</w:t>
      </w:r>
      <w:r>
        <w:rPr>
          <w:rFonts w:hint="eastAsia" w:ascii="仿宋" w:hAnsi="仿宋" w:eastAsia="仿宋" w:cs="仿宋"/>
          <w:color w:val="auto"/>
          <w:sz w:val="24"/>
          <w:u w:val="single"/>
        </w:rPr>
        <w:t xml:space="preserve">   （相关评定主体名称）   </w:t>
      </w:r>
      <w:r>
        <w:rPr>
          <w:rFonts w:hint="eastAsia" w:ascii="仿宋" w:hAnsi="仿宋" w:eastAsia="仿宋" w:cs="仿宋"/>
          <w:color w:val="auto"/>
          <w:sz w:val="24"/>
        </w:rPr>
        <w:t>评定，</w:t>
      </w:r>
      <w:r>
        <w:rPr>
          <w:rFonts w:hint="eastAsia" w:ascii="仿宋" w:hAnsi="仿宋" w:eastAsia="仿宋" w:cs="仿宋"/>
          <w:color w:val="auto"/>
          <w:sz w:val="24"/>
          <w:u w:val="single"/>
        </w:rPr>
        <w:t xml:space="preserve">   （中标或者成交供应商名称）</w:t>
      </w:r>
      <w:r>
        <w:rPr>
          <w:rFonts w:hint="eastAsia" w:ascii="仿宋" w:hAnsi="仿宋" w:eastAsia="仿宋" w:cs="仿宋"/>
          <w:color w:val="auto"/>
          <w:sz w:val="24"/>
        </w:rPr>
        <w:t>为该项目中标或者成交供应商。现于中标或者成交通知书发出之日起10个工作日内，按照采购文件等确定的事项签订本合同。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lang w:val="zh-CN"/>
        </w:rPr>
        <w:t>(以下简称：甲方)和</w:t>
      </w:r>
      <w:r>
        <w:rPr>
          <w:rFonts w:hint="eastAsia" w:ascii="仿宋" w:hAnsi="仿宋" w:eastAsia="仿宋" w:cs="仿宋"/>
          <w:color w:val="auto"/>
          <w:sz w:val="24"/>
          <w:u w:val="single"/>
        </w:rPr>
        <w:t xml:space="preserve">   （中标或者成交供应商名称）   </w:t>
      </w:r>
      <w:r>
        <w:rPr>
          <w:rFonts w:hint="eastAsia" w:ascii="仿宋" w:hAnsi="仿宋" w:eastAsia="仿宋" w:cs="仿宋"/>
          <w:color w:val="auto"/>
          <w:sz w:val="24"/>
          <w:lang w:val="zh-CN"/>
        </w:rPr>
        <w:t>(以下简称：乙方)协商一致，约定以下合同</w:t>
      </w:r>
      <w:r>
        <w:rPr>
          <w:rFonts w:hint="eastAsia" w:ascii="仿宋" w:hAnsi="仿宋" w:eastAsia="仿宋" w:cs="仿宋"/>
          <w:color w:val="auto"/>
          <w:sz w:val="24"/>
        </w:rPr>
        <w:t>条款，以兹共同遵守、全面履行。</w:t>
      </w:r>
    </w:p>
    <w:p>
      <w:pPr>
        <w:tabs>
          <w:tab w:val="left" w:pos="3584"/>
        </w:tabs>
        <w:spacing w:line="360" w:lineRule="auto"/>
        <w:ind w:firstLine="472" w:firstLineChars="196"/>
        <w:jc w:val="both"/>
        <w:rPr>
          <w:rFonts w:hint="eastAsia" w:ascii="仿宋" w:hAnsi="仿宋" w:eastAsia="仿宋" w:cs="仿宋"/>
          <w:b/>
          <w:color w:val="auto"/>
          <w:sz w:val="24"/>
        </w:rPr>
      </w:pPr>
      <w:r>
        <w:rPr>
          <w:rFonts w:hint="eastAsia" w:ascii="仿宋" w:hAnsi="仿宋" w:eastAsia="仿宋" w:cs="仿宋"/>
          <w:b/>
          <w:color w:val="auto"/>
          <w:sz w:val="24"/>
        </w:rPr>
        <w:t>第一条  合同标的</w:t>
      </w:r>
    </w:p>
    <w:p>
      <w:pPr>
        <w:tabs>
          <w:tab w:val="left" w:pos="3584"/>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 xml:space="preserve">本合同标的： </w:t>
      </w:r>
    </w:p>
    <w:p>
      <w:pPr>
        <w:tabs>
          <w:tab w:val="left" w:pos="3584"/>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具体包括：船舶制造、装修、配套设备安装、调试、全船试验、交船工作,以及不少于</w:t>
      </w:r>
      <w:r>
        <w:rPr>
          <w:rFonts w:hint="eastAsia" w:ascii="仿宋" w:hAnsi="仿宋" w:eastAsia="仿宋" w:cs="仿宋"/>
          <w:color w:val="auto"/>
          <w:sz w:val="24"/>
          <w:lang w:val="en-US" w:eastAsia="zh-CN"/>
        </w:rPr>
        <w:t>1</w:t>
      </w:r>
      <w:r>
        <w:rPr>
          <w:rFonts w:hint="eastAsia" w:ascii="仿宋" w:hAnsi="仿宋" w:eastAsia="仿宋" w:cs="仿宋"/>
          <w:color w:val="auto"/>
          <w:sz w:val="24"/>
        </w:rPr>
        <w:t>年（含）的免费售后现场技术支持服务及免费质量保修服务。</w:t>
      </w:r>
    </w:p>
    <w:p>
      <w:pPr>
        <w:tabs>
          <w:tab w:val="left" w:pos="3584"/>
        </w:tabs>
        <w:spacing w:line="360" w:lineRule="auto"/>
        <w:ind w:firstLine="482" w:firstLineChars="200"/>
        <w:jc w:val="both"/>
        <w:rPr>
          <w:rFonts w:hint="eastAsia" w:ascii="仿宋" w:hAnsi="仿宋" w:eastAsia="仿宋" w:cs="仿宋"/>
          <w:b/>
          <w:color w:val="auto"/>
          <w:sz w:val="24"/>
        </w:rPr>
      </w:pPr>
      <w:r>
        <w:rPr>
          <w:rFonts w:hint="eastAsia" w:ascii="仿宋" w:hAnsi="仿宋" w:eastAsia="仿宋" w:cs="仿宋"/>
          <w:b/>
          <w:color w:val="auto"/>
          <w:sz w:val="24"/>
        </w:rPr>
        <w:t>第二条  技术依据及要求</w:t>
      </w:r>
    </w:p>
    <w:p>
      <w:pPr>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2.1建造依据</w:t>
      </w:r>
    </w:p>
    <w:p>
      <w:pPr>
        <w:tabs>
          <w:tab w:val="left" w:pos="525"/>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 xml:space="preserve">经建造地船检批准的技术图纸资料建造。 </w:t>
      </w:r>
    </w:p>
    <w:p>
      <w:pPr>
        <w:tabs>
          <w:tab w:val="left" w:pos="525"/>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2.2船级、规范和规则</w:t>
      </w:r>
    </w:p>
    <w:p>
      <w:pPr>
        <w:tabs>
          <w:tab w:val="left" w:pos="525"/>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满足国家海事局《内河船舶法定检验技术规则》及相适应的船舶检验规范、标准对内河</w:t>
      </w:r>
      <w:r>
        <w:rPr>
          <w:rFonts w:hint="eastAsia" w:ascii="仿宋" w:hAnsi="仿宋" w:eastAsia="仿宋" w:cs="仿宋"/>
          <w:color w:val="auto"/>
          <w:sz w:val="24"/>
          <w:lang w:val="en-US" w:eastAsia="zh-CN"/>
        </w:rPr>
        <w:t>C</w:t>
      </w:r>
      <w:r>
        <w:rPr>
          <w:rFonts w:hint="eastAsia" w:ascii="仿宋" w:hAnsi="仿宋" w:eastAsia="仿宋" w:cs="仿宋"/>
          <w:color w:val="auto"/>
          <w:sz w:val="24"/>
        </w:rPr>
        <w:t>级航区船舶的要求。</w:t>
      </w:r>
    </w:p>
    <w:p>
      <w:pPr>
        <w:tabs>
          <w:tab w:val="left" w:pos="525"/>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2.3船舶的主要性能及主尺度（具体以图纸为准）</w:t>
      </w:r>
    </w:p>
    <w:p>
      <w:pPr>
        <w:numPr>
          <w:ilvl w:val="0"/>
          <w:numId w:val="6"/>
        </w:numPr>
        <w:tabs>
          <w:tab w:val="left" w:pos="525"/>
        </w:tabs>
        <w:spacing w:line="360" w:lineRule="auto"/>
        <w:jc w:val="both"/>
        <w:rPr>
          <w:rFonts w:hint="eastAsia" w:ascii="仿宋" w:hAnsi="仿宋" w:eastAsia="仿宋" w:cs="仿宋"/>
          <w:b/>
          <w:color w:val="auto"/>
          <w:sz w:val="24"/>
        </w:rPr>
      </w:pPr>
      <w:r>
        <w:rPr>
          <w:rFonts w:hint="eastAsia" w:ascii="仿宋" w:hAnsi="仿宋" w:eastAsia="仿宋" w:cs="仿宋"/>
          <w:b/>
          <w:color w:val="auto"/>
          <w:sz w:val="24"/>
        </w:rPr>
        <w:t>合同价格及支付条件</w:t>
      </w:r>
      <w:r>
        <w:rPr>
          <w:rFonts w:hint="eastAsia" w:ascii="仿宋" w:hAnsi="仿宋" w:eastAsia="仿宋" w:cs="仿宋"/>
          <w:color w:val="auto"/>
          <w:sz w:val="24"/>
        </w:rPr>
        <w:t>：</w:t>
      </w:r>
    </w:p>
    <w:p>
      <w:pPr>
        <w:tabs>
          <w:tab w:val="left" w:pos="525"/>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3.1合同价格</w:t>
      </w:r>
    </w:p>
    <w:p>
      <w:pPr>
        <w:tabs>
          <w:tab w:val="left" w:pos="525"/>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3.1.1本合同标的总价为</w:t>
      </w:r>
      <w:r>
        <w:rPr>
          <w:rFonts w:hint="eastAsia" w:ascii="仿宋" w:hAnsi="仿宋" w:eastAsia="仿宋" w:cs="仿宋"/>
          <w:b/>
          <w:color w:val="auto"/>
          <w:sz w:val="24"/>
          <w:u w:val="single"/>
        </w:rPr>
        <w:t xml:space="preserve">                              </w:t>
      </w:r>
      <w:r>
        <w:rPr>
          <w:rFonts w:hint="eastAsia" w:ascii="仿宋" w:hAnsi="仿宋" w:eastAsia="仿宋" w:cs="仿宋"/>
          <w:color w:val="auto"/>
          <w:sz w:val="24"/>
        </w:rPr>
        <w:t>。</w:t>
      </w:r>
    </w:p>
    <w:p>
      <w:pPr>
        <w:tabs>
          <w:tab w:val="left" w:pos="525"/>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3.2支付条件</w:t>
      </w:r>
    </w:p>
    <w:p>
      <w:pPr>
        <w:tabs>
          <w:tab w:val="left" w:pos="525"/>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船舶建造费的支付按照进度支付，具体为：</w:t>
      </w:r>
    </w:p>
    <w:p>
      <w:pPr>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3.2.1合同签订后7天内支付合同总价40%预付款；船体建造完成后并通过建造地船检部门完成各项试验试航，检验合格并交付后，支付合同价的55％。</w:t>
      </w:r>
      <w:r>
        <w:rPr>
          <w:rFonts w:hint="eastAsia" w:ascii="仿宋" w:hAnsi="仿宋" w:eastAsia="仿宋" w:cs="仿宋"/>
          <w:color w:val="auto"/>
          <w:sz w:val="24"/>
          <w:highlight w:val="none"/>
          <w:lang w:eastAsia="zh-CN"/>
        </w:rPr>
        <w:t>剩余合同款的5%待中标方承诺的质保期满无质量问题</w:t>
      </w:r>
      <w:r>
        <w:rPr>
          <w:rFonts w:hint="eastAsia" w:ascii="仿宋" w:hAnsi="仿宋" w:eastAsia="仿宋" w:cs="仿宋"/>
          <w:color w:val="auto"/>
          <w:sz w:val="24"/>
          <w:highlight w:val="none"/>
          <w:lang w:val="en-US" w:eastAsia="zh-CN"/>
        </w:rPr>
        <w:t>后</w:t>
      </w:r>
      <w:r>
        <w:rPr>
          <w:rFonts w:hint="eastAsia" w:ascii="仿宋" w:hAnsi="仿宋" w:eastAsia="仿宋" w:cs="仿宋"/>
          <w:color w:val="auto"/>
          <w:sz w:val="24"/>
          <w:highlight w:val="none"/>
          <w:lang w:eastAsia="zh-CN"/>
        </w:rPr>
        <w:t>支付（无息）</w:t>
      </w:r>
    </w:p>
    <w:p>
      <w:pPr>
        <w:spacing w:line="360" w:lineRule="auto"/>
        <w:ind w:firstLine="482"/>
        <w:jc w:val="both"/>
        <w:rPr>
          <w:rFonts w:hint="eastAsia" w:ascii="仿宋" w:hAnsi="仿宋" w:eastAsia="仿宋" w:cs="仿宋"/>
          <w:color w:val="auto"/>
          <w:sz w:val="24"/>
        </w:rPr>
      </w:pPr>
      <w:r>
        <w:rPr>
          <w:rFonts w:hint="eastAsia" w:ascii="仿宋" w:hAnsi="仿宋" w:eastAsia="仿宋" w:cs="仿宋"/>
          <w:color w:val="auto"/>
          <w:sz w:val="24"/>
          <w:lang w:val="en-US" w:eastAsia="zh-CN"/>
        </w:rPr>
        <w:t>3.2.2</w:t>
      </w:r>
      <w:r>
        <w:rPr>
          <w:rFonts w:hint="eastAsia" w:ascii="仿宋" w:hAnsi="仿宋" w:eastAsia="仿宋" w:cs="仿宋"/>
          <w:color w:val="auto"/>
          <w:sz w:val="24"/>
        </w:rPr>
        <w:t>乙方根据甲方招标要求设计定稿并通过图审的船舶方案范围内的施工内容总价不予调整，但在施工过程中如甲方要求对方案进行变更，或因船舶设计、建造、检验相关法律法规、规范变化而本船必须遵守而进行修改或变更导致增减的费用的除外，此部分按以下方式结算。</w:t>
      </w:r>
    </w:p>
    <w:p>
      <w:pPr>
        <w:spacing w:line="360" w:lineRule="auto"/>
        <w:ind w:firstLine="482"/>
        <w:jc w:val="both"/>
        <w:rPr>
          <w:rFonts w:hint="eastAsia" w:ascii="仿宋" w:hAnsi="仿宋" w:eastAsia="仿宋" w:cs="仿宋"/>
          <w:color w:val="auto"/>
          <w:sz w:val="24"/>
        </w:rPr>
      </w:pPr>
      <w:r>
        <w:rPr>
          <w:rFonts w:hint="eastAsia" w:ascii="仿宋" w:hAnsi="仿宋" w:eastAsia="仿宋" w:cs="仿宋"/>
          <w:color w:val="auto"/>
          <w:sz w:val="24"/>
        </w:rPr>
        <w:t>变更部分结算价=（变更工程量*变更工程综合单价+规费+税金）*（工程费投标价÷工程费最高限价）</w:t>
      </w:r>
    </w:p>
    <w:p>
      <w:pPr>
        <w:spacing w:line="360" w:lineRule="auto"/>
        <w:ind w:firstLine="482"/>
        <w:jc w:val="both"/>
        <w:rPr>
          <w:rFonts w:hint="eastAsia" w:ascii="仿宋" w:hAnsi="仿宋" w:eastAsia="仿宋" w:cs="仿宋"/>
          <w:color w:val="auto"/>
          <w:sz w:val="24"/>
        </w:rPr>
      </w:pPr>
      <w:r>
        <w:rPr>
          <w:rFonts w:hint="eastAsia" w:ascii="仿宋" w:hAnsi="仿宋" w:eastAsia="仿宋" w:cs="仿宋"/>
          <w:color w:val="auto"/>
          <w:sz w:val="24"/>
        </w:rPr>
        <w:t>本工程项目单价重新组价采用的依据为：《浙江省房屋建筑与装饰工程预算定额》（2018版）；《浙江省通用安装工程预算定额》（2018版）；《浙江省市政工程预算定额》（2018版）；《浙江省建设工程计价规则》（2018版）。</w:t>
      </w:r>
    </w:p>
    <w:p>
      <w:pPr>
        <w:numPr>
          <w:ilvl w:val="0"/>
          <w:numId w:val="6"/>
        </w:numPr>
        <w:tabs>
          <w:tab w:val="left" w:pos="525"/>
        </w:tabs>
        <w:spacing w:line="360" w:lineRule="auto"/>
        <w:jc w:val="both"/>
        <w:rPr>
          <w:rFonts w:hint="eastAsia" w:ascii="仿宋" w:hAnsi="仿宋" w:eastAsia="仿宋" w:cs="仿宋"/>
          <w:b/>
          <w:color w:val="auto"/>
          <w:sz w:val="24"/>
        </w:rPr>
      </w:pPr>
      <w:r>
        <w:rPr>
          <w:rFonts w:hint="eastAsia" w:ascii="仿宋" w:hAnsi="仿宋" w:eastAsia="仿宋" w:cs="仿宋"/>
          <w:b/>
          <w:color w:val="auto"/>
          <w:sz w:val="24"/>
        </w:rPr>
        <w:t xml:space="preserve"> 交船</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 xml:space="preserve">4.1交船时间：    </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若本合同履行过程中出现下列情形之一，造成交船时间延长的，交船时间相应顺延：</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（1）因不可抗力造成延误的；</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（2）因经双方协商一致导致项目更改或增加所造成延误的；</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（3）因船舶设计、检验相关法律法规或建造规范变更而本船必须遵守所造成延误的；</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（4）因甲方未按约定提交资料，影响乙方办理相关手续或影响工程进度所造成延误的；</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（5）因甲方未按约定参加试航或验收手续所造成延误的；</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（6）因甲方未按约定及时接船所造成延误的；</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（7）因甲方未按约定按时支付款项的；</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（8）因甲方审图或甲方要求对设计方案、技术规格书等原定的方案进行修改或变动所造成延误的；</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（9）因甲方所提供或自购的材料和设备未按时提供或存在质量缺陷，或甲方指定供货商、工程队时该供应商或工程队所造成延误的；</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（10）若乙方提出需要甲方明确答复或签名确认的事项时，甲方未及时回复或确认所造成延误的；</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（11）其它因甲方原因所造成延误的。</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（12）若因乙方自身原因所造成的延误，甲方有权履行本合同第八条相关条款。</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4.2交船地点：甲方指定码头。</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4.3交接船条件：</w:t>
      </w:r>
    </w:p>
    <w:p>
      <w:pPr>
        <w:tabs>
          <w:tab w:val="left" w:pos="525"/>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交接船签字前，船舶经过试航后达到并符合合同要求，其中故障和隐患均已排除或解决，并使</w:t>
      </w:r>
      <w:r>
        <w:rPr>
          <w:rFonts w:hint="eastAsia" w:ascii="仿宋" w:hAnsi="仿宋" w:eastAsia="仿宋" w:cs="仿宋"/>
          <w:color w:val="auto"/>
          <w:sz w:val="24"/>
          <w:lang w:val="en-US" w:eastAsia="zh-CN"/>
        </w:rPr>
        <w:t>甲方</w:t>
      </w:r>
      <w:r>
        <w:rPr>
          <w:rFonts w:hint="eastAsia" w:ascii="仿宋" w:hAnsi="仿宋" w:eastAsia="仿宋" w:cs="仿宋"/>
          <w:color w:val="auto"/>
          <w:sz w:val="24"/>
        </w:rPr>
        <w:t>满意，所有的技术资料和图纸均已向</w:t>
      </w:r>
      <w:r>
        <w:rPr>
          <w:rFonts w:hint="eastAsia" w:ascii="仿宋" w:hAnsi="仿宋" w:eastAsia="仿宋" w:cs="仿宋"/>
          <w:color w:val="auto"/>
          <w:sz w:val="24"/>
          <w:lang w:val="en-US" w:eastAsia="zh-CN"/>
        </w:rPr>
        <w:t>甲方</w:t>
      </w:r>
      <w:r>
        <w:rPr>
          <w:rFonts w:hint="eastAsia" w:ascii="仿宋" w:hAnsi="仿宋" w:eastAsia="仿宋" w:cs="仿宋"/>
          <w:color w:val="auto"/>
          <w:sz w:val="24"/>
        </w:rPr>
        <w:t>提交并接受，</w:t>
      </w:r>
      <w:r>
        <w:rPr>
          <w:rFonts w:hint="eastAsia" w:ascii="仿宋" w:hAnsi="仿宋" w:eastAsia="仿宋" w:cs="仿宋"/>
          <w:color w:val="auto"/>
          <w:sz w:val="24"/>
          <w:lang w:val="en-US" w:eastAsia="zh-CN"/>
        </w:rPr>
        <w:t>初步</w:t>
      </w:r>
      <w:r>
        <w:rPr>
          <w:rFonts w:hint="eastAsia" w:ascii="仿宋" w:hAnsi="仿宋" w:eastAsia="仿宋" w:cs="仿宋"/>
          <w:color w:val="auto"/>
          <w:sz w:val="24"/>
        </w:rPr>
        <w:t>验收视为合格，双方签署验收证书，并办妥船舶检验证书后</w:t>
      </w:r>
      <w:r>
        <w:rPr>
          <w:rFonts w:hint="eastAsia" w:ascii="仿宋" w:hAnsi="仿宋" w:eastAsia="仿宋" w:cs="仿宋"/>
          <w:color w:val="auto"/>
          <w:sz w:val="24"/>
          <w:lang w:val="en-US" w:eastAsia="zh-CN"/>
        </w:rPr>
        <w:t>视为乙方终验合格</w:t>
      </w:r>
      <w:r>
        <w:rPr>
          <w:rFonts w:hint="eastAsia" w:ascii="仿宋" w:hAnsi="仿宋" w:eastAsia="仿宋" w:cs="仿宋"/>
          <w:color w:val="auto"/>
          <w:sz w:val="24"/>
        </w:rPr>
        <w:t>。若因成交供应商产品质量或安装技术问题导致验收不合格，成交供应商应及时予以处理，直至验收合格并办妥船舶检验证书，期间发生的一切相关费用由成交供应商承担，采购人保留向成交供应商索赔的权力；交船时，船舶应处于彻底清洁状态。</w:t>
      </w:r>
    </w:p>
    <w:p>
      <w:pPr>
        <w:tabs>
          <w:tab w:val="left" w:pos="525"/>
        </w:tabs>
        <w:spacing w:line="360" w:lineRule="auto"/>
        <w:ind w:left="560"/>
        <w:jc w:val="both"/>
        <w:rPr>
          <w:rFonts w:hint="eastAsia" w:ascii="仿宋" w:hAnsi="仿宋" w:eastAsia="仿宋" w:cs="仿宋"/>
          <w:color w:val="auto"/>
          <w:sz w:val="24"/>
        </w:rPr>
      </w:pPr>
      <w:r>
        <w:rPr>
          <w:rFonts w:hint="eastAsia" w:ascii="仿宋" w:hAnsi="仿宋" w:eastAsia="仿宋" w:cs="仿宋"/>
          <w:color w:val="auto"/>
          <w:sz w:val="24"/>
        </w:rPr>
        <w:t>4.4交接船文件：</w:t>
      </w:r>
    </w:p>
    <w:p>
      <w:pPr>
        <w:numPr>
          <w:ilvl w:val="0"/>
          <w:numId w:val="7"/>
        </w:numPr>
        <w:tabs>
          <w:tab w:val="left" w:pos="525"/>
        </w:tabs>
        <w:spacing w:line="360" w:lineRule="auto"/>
        <w:jc w:val="both"/>
        <w:rPr>
          <w:rFonts w:hint="eastAsia" w:ascii="仿宋" w:hAnsi="仿宋" w:eastAsia="仿宋" w:cs="仿宋"/>
          <w:color w:val="auto"/>
          <w:sz w:val="24"/>
        </w:rPr>
      </w:pPr>
      <w:r>
        <w:rPr>
          <w:rFonts w:hint="eastAsia" w:ascii="仿宋" w:hAnsi="仿宋" w:eastAsia="仿宋" w:cs="仿宋"/>
          <w:color w:val="auto"/>
          <w:sz w:val="24"/>
        </w:rPr>
        <w:t>船舶建造完工证明书；</w:t>
      </w:r>
    </w:p>
    <w:p>
      <w:pPr>
        <w:numPr>
          <w:ilvl w:val="0"/>
          <w:numId w:val="7"/>
        </w:numPr>
        <w:tabs>
          <w:tab w:val="left" w:pos="525"/>
        </w:tabs>
        <w:spacing w:line="360" w:lineRule="auto"/>
        <w:jc w:val="both"/>
        <w:rPr>
          <w:rFonts w:hint="eastAsia" w:ascii="仿宋" w:hAnsi="仿宋" w:eastAsia="仿宋" w:cs="仿宋"/>
          <w:color w:val="auto"/>
          <w:sz w:val="24"/>
        </w:rPr>
      </w:pPr>
      <w:r>
        <w:rPr>
          <w:rFonts w:hint="eastAsia" w:ascii="仿宋" w:hAnsi="仿宋" w:eastAsia="仿宋" w:cs="仿宋"/>
          <w:color w:val="auto"/>
          <w:sz w:val="24"/>
        </w:rPr>
        <w:t>船舶检验证书薄正本一份</w:t>
      </w:r>
    </w:p>
    <w:p>
      <w:pPr>
        <w:numPr>
          <w:ilvl w:val="0"/>
          <w:numId w:val="7"/>
        </w:numPr>
        <w:tabs>
          <w:tab w:val="left" w:pos="525"/>
        </w:tabs>
        <w:spacing w:line="360" w:lineRule="auto"/>
        <w:jc w:val="both"/>
        <w:rPr>
          <w:rFonts w:hint="eastAsia" w:ascii="仿宋" w:hAnsi="仿宋" w:eastAsia="仿宋" w:cs="仿宋"/>
          <w:color w:val="auto"/>
          <w:sz w:val="24"/>
        </w:rPr>
      </w:pPr>
      <w:r>
        <w:rPr>
          <w:rFonts w:hint="eastAsia" w:ascii="仿宋" w:hAnsi="仿宋" w:eastAsia="仿宋" w:cs="仿宋"/>
          <w:color w:val="auto"/>
          <w:sz w:val="24"/>
        </w:rPr>
        <w:t>按规定必须取得的船用产品检验证书；</w:t>
      </w:r>
    </w:p>
    <w:p>
      <w:pPr>
        <w:numPr>
          <w:ilvl w:val="0"/>
          <w:numId w:val="7"/>
        </w:numPr>
        <w:tabs>
          <w:tab w:val="left" w:pos="525"/>
        </w:tabs>
        <w:spacing w:line="360" w:lineRule="auto"/>
        <w:jc w:val="both"/>
        <w:rPr>
          <w:rFonts w:hint="eastAsia" w:ascii="仿宋" w:hAnsi="仿宋" w:eastAsia="仿宋" w:cs="仿宋"/>
          <w:color w:val="auto"/>
          <w:sz w:val="24"/>
        </w:rPr>
      </w:pPr>
      <w:r>
        <w:rPr>
          <w:rFonts w:hint="eastAsia" w:ascii="仿宋" w:hAnsi="仿宋" w:eastAsia="仿宋" w:cs="仿宋"/>
          <w:color w:val="auto"/>
          <w:sz w:val="24"/>
        </w:rPr>
        <w:t>交接船协议书；</w:t>
      </w:r>
    </w:p>
    <w:p>
      <w:pPr>
        <w:tabs>
          <w:tab w:val="left" w:pos="525"/>
          <w:tab w:val="left" w:pos="840"/>
          <w:tab w:val="left" w:pos="3800"/>
        </w:tabs>
        <w:spacing w:line="360" w:lineRule="auto"/>
        <w:ind w:firstLine="589"/>
        <w:jc w:val="both"/>
        <w:rPr>
          <w:rFonts w:hint="eastAsia" w:ascii="仿宋" w:hAnsi="仿宋" w:eastAsia="仿宋" w:cs="仿宋"/>
          <w:b/>
          <w:color w:val="auto"/>
          <w:sz w:val="24"/>
        </w:rPr>
      </w:pPr>
      <w:r>
        <w:rPr>
          <w:rFonts w:hint="eastAsia" w:ascii="仿宋" w:hAnsi="仿宋" w:eastAsia="仿宋" w:cs="仿宋"/>
          <w:b/>
          <w:color w:val="auto"/>
          <w:sz w:val="24"/>
        </w:rPr>
        <w:t>第五条  监造与验收</w:t>
      </w:r>
      <w:r>
        <w:rPr>
          <w:rFonts w:hint="eastAsia" w:ascii="仿宋" w:hAnsi="仿宋" w:eastAsia="仿宋" w:cs="仿宋"/>
          <w:b/>
          <w:color w:val="auto"/>
          <w:sz w:val="24"/>
        </w:rPr>
        <w:tab/>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 xml:space="preserve">5.1本船建造涉及的所有材料由乙方负责按照图纸、技术参数、设备配置要求采购或自制，重要设备采购应征得甲方同意。 </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5.2乙方由于材料、设备、备件、供应品订货困难等原因影响建造进度时，须征得甲方同意后，应采用符合船检要求的同档次代用品。涉及船舶性能及船检规范的，还应征得船检及设计部门的同意。</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5.3本合同签署生效后，甲方将委派代表驻厂进行监造，乙方应为驻厂代表提供工作及生活上的方便。</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5.4船舶开工前，乙方应向甲方提供一份工程进度表。</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5.5在监造中提出的问题，乙方应在五天内给予书面答复。</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5.6所有法定检验项目，乙方必须提前七天通知甲方，检验项目应具有完整性，其它一般项目，提前二天通知甲方。</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5.7对于任何一处内装修封闭前，</w:t>
      </w:r>
      <w:r>
        <w:rPr>
          <w:rFonts w:hint="eastAsia" w:ascii="仿宋" w:hAnsi="仿宋" w:eastAsia="仿宋" w:cs="仿宋"/>
          <w:color w:val="auto"/>
          <w:sz w:val="24"/>
          <w:lang w:val="en-US" w:eastAsia="zh-CN"/>
        </w:rPr>
        <w:t>乙方必须提前通知甲方驻厂代表，且</w:t>
      </w:r>
      <w:r>
        <w:rPr>
          <w:rFonts w:hint="eastAsia" w:ascii="仿宋" w:hAnsi="仿宋" w:eastAsia="仿宋" w:cs="仿宋"/>
          <w:color w:val="auto"/>
          <w:sz w:val="24"/>
        </w:rPr>
        <w:t>必须经驻厂代表检查其内部情况并进行现场记录认可，否则，驻厂代表有权要求拆开检查</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费用由乙方承担</w:t>
      </w:r>
      <w:r>
        <w:rPr>
          <w:rFonts w:hint="eastAsia" w:ascii="仿宋" w:hAnsi="仿宋" w:eastAsia="仿宋" w:cs="仿宋"/>
          <w:color w:val="auto"/>
          <w:sz w:val="24"/>
        </w:rPr>
        <w:t>。</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5.8本船建造过程中，如发生项目变更，必须征得甲方同意并出具联系单，经甲、乙、监理三方确认的联系单视为有效。</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5.9本船建造过程中，如甲方提出额外增加的项目，乙方须依照投标价格执行，投标中未涉及项目，乙方依照市价</w:t>
      </w:r>
      <w:r>
        <w:rPr>
          <w:rFonts w:hint="eastAsia" w:ascii="仿宋" w:hAnsi="仿宋" w:eastAsia="仿宋" w:cs="仿宋"/>
          <w:color w:val="auto"/>
          <w:sz w:val="24"/>
          <w:u w:val="single"/>
        </w:rPr>
        <w:t xml:space="preserve">   </w:t>
      </w:r>
      <w:r>
        <w:rPr>
          <w:rFonts w:hint="eastAsia" w:ascii="仿宋" w:hAnsi="仿宋" w:eastAsia="仿宋" w:cs="仿宋"/>
          <w:color w:val="auto"/>
          <w:sz w:val="24"/>
        </w:rPr>
        <w:t>%的优惠为甲方提供。</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5.10试验和试航</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5.10.1系泊试验和试航均按认可的“试车试航大纲”进行。</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5.10.2试航由乙方组织进行，费用由乙方承担。</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5.10.3试航和验收地点：乙方建造场所及附近水域。如甲方如有特殊情况不能派员或不能按时派员参加试航和验收及检查，乙方经过甲方同意，可直接在外部船检机构的参与下进行试航和检验，经船检机构验船师签认的试航及检验有关测试数据记录或报告，甲方接受，并按乙方通知的期限内接船。</w:t>
      </w:r>
    </w:p>
    <w:p>
      <w:pPr>
        <w:tabs>
          <w:tab w:val="left" w:pos="525"/>
          <w:tab w:val="left" w:pos="840"/>
        </w:tabs>
        <w:spacing w:line="360" w:lineRule="auto"/>
        <w:ind w:firstLine="589"/>
        <w:jc w:val="both"/>
        <w:rPr>
          <w:rFonts w:hint="eastAsia" w:ascii="仿宋" w:hAnsi="仿宋" w:eastAsia="仿宋" w:cs="仿宋"/>
          <w:b/>
          <w:color w:val="auto"/>
          <w:sz w:val="24"/>
        </w:rPr>
      </w:pPr>
      <w:r>
        <w:rPr>
          <w:rFonts w:hint="eastAsia" w:ascii="仿宋" w:hAnsi="仿宋" w:eastAsia="仿宋" w:cs="仿宋"/>
          <w:b/>
          <w:color w:val="auto"/>
          <w:sz w:val="24"/>
        </w:rPr>
        <w:t>第六条  质量保证</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6.1本船建造质量应符合本合同所确定的国家有关船舶建造的规范、规则及乙方在报价标书中所承诺的有关标准、规范和质量保证体系，取得船舶检验证书。</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6.2缺陷的责任及范围</w:t>
      </w:r>
    </w:p>
    <w:p>
      <w:pPr>
        <w:spacing w:line="460" w:lineRule="exact"/>
        <w:ind w:firstLine="360" w:firstLineChars="150"/>
        <w:jc w:val="both"/>
        <w:rPr>
          <w:rFonts w:hint="eastAsia" w:ascii="仿宋" w:hAnsi="仿宋" w:eastAsia="仿宋" w:cs="仿宋"/>
          <w:color w:val="auto"/>
          <w:sz w:val="24"/>
        </w:rPr>
      </w:pPr>
      <w:r>
        <w:rPr>
          <w:rFonts w:hint="eastAsia" w:ascii="仿宋" w:hAnsi="仿宋" w:eastAsia="仿宋" w:cs="仿宋"/>
          <w:color w:val="auto"/>
          <w:sz w:val="24"/>
        </w:rPr>
        <w:t xml:space="preserve">  自双方签署本船《交接船协议书》之日起</w:t>
      </w:r>
      <w:r>
        <w:rPr>
          <w:rFonts w:hint="eastAsia" w:ascii="仿宋" w:hAnsi="仿宋" w:eastAsia="仿宋" w:cs="仿宋"/>
          <w:color w:val="auto"/>
          <w:sz w:val="24"/>
          <w:u w:val="single"/>
        </w:rPr>
        <w:t xml:space="preserve">    </w:t>
      </w:r>
      <w:r>
        <w:rPr>
          <w:rFonts w:hint="eastAsia" w:ascii="仿宋" w:hAnsi="仿宋" w:eastAsia="仿宋" w:cs="仿宋"/>
          <w:color w:val="auto"/>
          <w:sz w:val="24"/>
        </w:rPr>
        <w:t>个月内为本船质量保证期，在此期间凡属乙方施工、工艺以及材料、设备质量而引起的缺陷、故障和损坏，由乙方负责免费修理或更换。乙方应当在收到甲方修理请求之日起十个工作日内予以修理。乙方不予修理或迟延修理的，甲方有权将质量保证金予以扣留。凡属甲方操作或保养使用不当造成的损坏、故障和缺陷以及易损件的正常磨损，由乙方负责修复，甲方承担费用。甲方所提供的产品或设备或配件出现质量问题的，乙方不承担责任。</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6.3缺陷的处理</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甲方在保修期内发现属于保修范围内的任何缺陷将及时通知乙方，乙方应派员在第一时间抵达现场，抵达时间为48小时内，属配套设备厂家的项目由乙方负责督促其按有关服务计划如期到达；若乙方在接到甲方的通知后无正当理由而未能及时到场服务，甲方为保证船舶安全营运的需要，有权另行组织修理，所发生的修理费用（修理费包括但不限于修理费、人工费、运输费、材料费等）在该质量保证金中抵扣。如质量保证金不够，则乙方还需向甲方支付修理费的不足部分。</w:t>
      </w:r>
    </w:p>
    <w:p>
      <w:pPr>
        <w:tabs>
          <w:tab w:val="left" w:pos="525"/>
          <w:tab w:val="left" w:pos="840"/>
        </w:tabs>
        <w:spacing w:line="360" w:lineRule="auto"/>
        <w:ind w:firstLine="589"/>
        <w:jc w:val="both"/>
        <w:rPr>
          <w:rFonts w:hint="eastAsia" w:ascii="仿宋" w:hAnsi="仿宋" w:eastAsia="仿宋" w:cs="仿宋"/>
          <w:b/>
          <w:color w:val="auto"/>
          <w:sz w:val="24"/>
        </w:rPr>
      </w:pPr>
      <w:r>
        <w:rPr>
          <w:rFonts w:hint="eastAsia" w:ascii="仿宋" w:hAnsi="仿宋" w:eastAsia="仿宋" w:cs="仿宋"/>
          <w:b/>
          <w:color w:val="auto"/>
          <w:sz w:val="24"/>
        </w:rPr>
        <w:t>第七条   合同的变更及修改</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7.1本合同生效后，甲乙双方都要严格遵守执行，如甲乙双方任何一方无正当理由提出解除、停止执行合同，因此而给对方造成的经济损失由提出方负责赔偿。</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7.2在本合同签约后的施工过程中，任何一方修改变更本合同内容，须经双方认可并签订变更的补充协议，该协议为本合同的不可分割部分。修改变更引起合同交船期的变更、价格的调整及其它问题均以双方签署的补充协议为准。其中价格的调整幅度按实计。</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7.3本船建造所遵循的规范、规程、规则、标准等文件，如在本合同签约后出现修改并要求本船遵守时，由此修改而引起的费用增减、交船期的变更，甲乙双方另行协商解决。</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7.4如果产品与甲方提出的质量要求和技术规格存在差异，则乙方应按下述方法进行补偿：</w:t>
      </w:r>
    </w:p>
    <w:p>
      <w:pPr>
        <w:numPr>
          <w:ilvl w:val="0"/>
          <w:numId w:val="8"/>
        </w:numPr>
        <w:tabs>
          <w:tab w:val="left" w:pos="525"/>
          <w:tab w:val="left" w:pos="840"/>
        </w:tabs>
        <w:spacing w:line="360" w:lineRule="auto"/>
        <w:ind w:hanging="138"/>
        <w:jc w:val="both"/>
        <w:rPr>
          <w:rFonts w:hint="eastAsia" w:ascii="仿宋" w:hAnsi="仿宋" w:eastAsia="仿宋" w:cs="仿宋"/>
          <w:color w:val="auto"/>
          <w:sz w:val="24"/>
        </w:rPr>
      </w:pPr>
      <w:r>
        <w:rPr>
          <w:rFonts w:hint="eastAsia" w:ascii="仿宋" w:hAnsi="仿宋" w:eastAsia="仿宋" w:cs="仿宋"/>
          <w:color w:val="auto"/>
          <w:sz w:val="24"/>
        </w:rPr>
        <w:t>应用符合要求的新品更换有缺陷的部件；</w:t>
      </w:r>
    </w:p>
    <w:p>
      <w:pPr>
        <w:numPr>
          <w:ilvl w:val="0"/>
          <w:numId w:val="8"/>
        </w:numPr>
        <w:tabs>
          <w:tab w:val="left" w:pos="525"/>
          <w:tab w:val="left" w:pos="840"/>
        </w:tabs>
        <w:spacing w:line="360" w:lineRule="auto"/>
        <w:ind w:hanging="138"/>
        <w:jc w:val="both"/>
        <w:rPr>
          <w:rFonts w:hint="eastAsia" w:ascii="仿宋" w:hAnsi="仿宋" w:eastAsia="仿宋" w:cs="仿宋"/>
          <w:color w:val="auto"/>
          <w:sz w:val="24"/>
        </w:rPr>
      </w:pPr>
      <w:r>
        <w:rPr>
          <w:rFonts w:hint="eastAsia" w:ascii="仿宋" w:hAnsi="仿宋" w:eastAsia="仿宋" w:cs="仿宋"/>
          <w:color w:val="auto"/>
          <w:sz w:val="24"/>
        </w:rPr>
        <w:t>依照损坏程度、低劣程度以及甲方所受的损失，经双方商定以降价方法进行。</w:t>
      </w:r>
    </w:p>
    <w:p>
      <w:pPr>
        <w:tabs>
          <w:tab w:val="left" w:pos="525"/>
          <w:tab w:val="left" w:pos="840"/>
        </w:tabs>
        <w:spacing w:line="360" w:lineRule="auto"/>
        <w:ind w:firstLine="589"/>
        <w:jc w:val="both"/>
        <w:rPr>
          <w:rFonts w:hint="eastAsia" w:ascii="仿宋" w:hAnsi="仿宋" w:eastAsia="仿宋" w:cs="仿宋"/>
          <w:b/>
          <w:color w:val="auto"/>
          <w:sz w:val="24"/>
        </w:rPr>
      </w:pPr>
      <w:r>
        <w:rPr>
          <w:rFonts w:hint="eastAsia" w:ascii="仿宋" w:hAnsi="仿宋" w:eastAsia="仿宋" w:cs="仿宋"/>
          <w:b/>
          <w:color w:val="auto"/>
          <w:sz w:val="24"/>
        </w:rPr>
        <w:t>第八条 违约责任</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8.1甲乙双方已全面理解并认同各自在本合同项下的义务，甲方应当按照本合同之约定及时履行付款义务，乙方应当按照本合同之约定完成造船进度、按时交船。</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8.2乙方承诺严格按照本合同约定之造船进度，及时向甲方出具相关材料，告知甲方造船进度。若乙方违反本合同之约定，未按期完成造船进度，延误天数在五个工作日以上的，视为违约。延误天数在超过二十个工作日的，视为严重违约。</w:t>
      </w:r>
    </w:p>
    <w:p>
      <w:pPr>
        <w:tabs>
          <w:tab w:val="left" w:pos="525"/>
          <w:tab w:val="left" w:pos="840"/>
        </w:tabs>
        <w:spacing w:line="360" w:lineRule="auto"/>
        <w:ind w:firstLine="589"/>
        <w:jc w:val="both"/>
        <w:rPr>
          <w:rFonts w:hint="eastAsia" w:ascii="仿宋" w:hAnsi="仿宋" w:eastAsia="仿宋" w:cs="仿宋"/>
          <w:b/>
          <w:color w:val="auto"/>
          <w:sz w:val="24"/>
        </w:rPr>
      </w:pPr>
      <w:r>
        <w:rPr>
          <w:rFonts w:hint="eastAsia" w:ascii="仿宋" w:hAnsi="仿宋" w:eastAsia="仿宋" w:cs="仿宋"/>
          <w:color w:val="auto"/>
          <w:sz w:val="24"/>
        </w:rPr>
        <w:t>8.3乙方违约的，应当以合同总价款为基数，按照每日</w:t>
      </w:r>
      <w:r>
        <w:rPr>
          <w:rFonts w:hint="eastAsia" w:ascii="仿宋" w:hAnsi="仿宋" w:eastAsia="仿宋" w:cs="仿宋"/>
          <w:color w:val="auto"/>
          <w:sz w:val="24"/>
          <w:lang w:val="en-US" w:eastAsia="zh-CN"/>
        </w:rPr>
        <w:t>万分之五</w:t>
      </w:r>
      <w:r>
        <w:rPr>
          <w:rFonts w:hint="eastAsia" w:ascii="仿宋" w:hAnsi="仿宋" w:eastAsia="仿宋" w:cs="仿宋"/>
          <w:color w:val="auto"/>
          <w:sz w:val="24"/>
        </w:rPr>
        <w:t>的标准支付违约金；乙方严重违约的，甲方</w:t>
      </w:r>
      <w:r>
        <w:rPr>
          <w:rFonts w:hint="eastAsia" w:ascii="仿宋" w:hAnsi="仿宋" w:eastAsia="仿宋" w:cs="仿宋"/>
          <w:color w:val="auto"/>
          <w:sz w:val="24"/>
          <w:lang w:val="en-US" w:eastAsia="zh-CN"/>
        </w:rPr>
        <w:t>还</w:t>
      </w:r>
      <w:r>
        <w:rPr>
          <w:rFonts w:hint="eastAsia" w:ascii="仿宋" w:hAnsi="仿宋" w:eastAsia="仿宋" w:cs="仿宋"/>
          <w:color w:val="auto"/>
          <w:sz w:val="24"/>
        </w:rPr>
        <w:t>有权要求解除合同或要求乙方继续履行合同，无论甲方选择解除合同还是要求继续履行，均有权要求乙方按照每日</w:t>
      </w:r>
      <w:r>
        <w:rPr>
          <w:rFonts w:hint="eastAsia" w:ascii="仿宋" w:hAnsi="仿宋" w:eastAsia="仿宋" w:cs="仿宋"/>
          <w:color w:val="auto"/>
          <w:sz w:val="24"/>
          <w:lang w:val="en-US" w:eastAsia="zh-CN"/>
        </w:rPr>
        <w:t>万分之五</w:t>
      </w:r>
      <w:r>
        <w:rPr>
          <w:rFonts w:hint="eastAsia" w:ascii="仿宋" w:hAnsi="仿宋" w:eastAsia="仿宋" w:cs="仿宋"/>
          <w:color w:val="auto"/>
          <w:sz w:val="24"/>
        </w:rPr>
        <w:t>的标准支付迟延交船期间的违约金，同时履约保证金不予退还。</w:t>
      </w:r>
    </w:p>
    <w:p>
      <w:pPr>
        <w:tabs>
          <w:tab w:val="left" w:pos="525"/>
          <w:tab w:val="left" w:pos="840"/>
        </w:tabs>
        <w:spacing w:line="360" w:lineRule="auto"/>
        <w:ind w:firstLine="589"/>
        <w:jc w:val="both"/>
        <w:rPr>
          <w:rFonts w:hint="eastAsia" w:ascii="仿宋" w:hAnsi="仿宋" w:eastAsia="仿宋" w:cs="仿宋"/>
          <w:b/>
          <w:color w:val="auto"/>
          <w:sz w:val="24"/>
        </w:rPr>
      </w:pPr>
      <w:r>
        <w:rPr>
          <w:rFonts w:hint="eastAsia" w:ascii="仿宋" w:hAnsi="仿宋" w:eastAsia="仿宋" w:cs="仿宋"/>
          <w:b/>
          <w:color w:val="auto"/>
          <w:sz w:val="24"/>
        </w:rPr>
        <w:t>第九条  不可抗力事件</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9.1如遇《中华人民共和国民法典》所列举的不可抗力情况，合同条款应按实际情况予以修正。</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9.2乙方应在不可抗力事件发生后七天内书面通知甲方，并在十天内向甲方提交当地主管部门的有关证明。甲方在收到乙方通知及当地主管部门的证明后七天内应与乙方友好协商，相应推迟交船期。如在上述期限内没有答复，则认为甲方同意乙方的意见，当不可抗力事件停止时，乙方应以同样方式通知甲方。</w:t>
      </w:r>
    </w:p>
    <w:p>
      <w:pPr>
        <w:tabs>
          <w:tab w:val="left" w:pos="525"/>
          <w:tab w:val="left" w:pos="840"/>
        </w:tabs>
        <w:spacing w:line="360" w:lineRule="auto"/>
        <w:ind w:firstLine="589"/>
        <w:jc w:val="both"/>
        <w:rPr>
          <w:rFonts w:hint="eastAsia" w:ascii="仿宋" w:hAnsi="仿宋" w:eastAsia="仿宋" w:cs="仿宋"/>
          <w:b/>
          <w:color w:val="auto"/>
          <w:sz w:val="24"/>
        </w:rPr>
      </w:pPr>
      <w:r>
        <w:rPr>
          <w:rFonts w:hint="eastAsia" w:ascii="仿宋" w:hAnsi="仿宋" w:eastAsia="仿宋" w:cs="仿宋"/>
          <w:b/>
          <w:color w:val="auto"/>
          <w:sz w:val="24"/>
        </w:rPr>
        <w:t>第十条  合同纠纷的解决</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10.1甲、乙双方在执行本合同时发生的一切争议，都应通过友好协商解决，如协商不成任何一方均可按《中华人民共和国民法典》的规定于甲方所在地</w:t>
      </w:r>
      <w:r>
        <w:rPr>
          <w:rFonts w:hint="eastAsia" w:ascii="仿宋" w:hAnsi="仿宋" w:eastAsia="仿宋" w:cs="仿宋"/>
          <w:color w:val="auto"/>
          <w:sz w:val="24"/>
          <w:lang w:val="en-US" w:eastAsia="zh-CN"/>
        </w:rPr>
        <w:t>有管辖权的</w:t>
      </w:r>
      <w:r>
        <w:rPr>
          <w:rFonts w:hint="eastAsia" w:ascii="仿宋" w:hAnsi="仿宋" w:eastAsia="仿宋" w:cs="仿宋"/>
          <w:color w:val="auto"/>
          <w:sz w:val="24"/>
        </w:rPr>
        <w:t>法院</w:t>
      </w:r>
      <w:r>
        <w:rPr>
          <w:rFonts w:hint="eastAsia" w:ascii="仿宋" w:hAnsi="仿宋" w:eastAsia="仿宋" w:cs="仿宋"/>
          <w:color w:val="auto"/>
          <w:sz w:val="24"/>
          <w:lang w:val="en-US" w:eastAsia="zh-CN"/>
        </w:rPr>
        <w:t>提起诉讼</w:t>
      </w:r>
      <w:r>
        <w:rPr>
          <w:rFonts w:hint="eastAsia" w:ascii="仿宋" w:hAnsi="仿宋" w:eastAsia="仿宋" w:cs="仿宋"/>
          <w:color w:val="auto"/>
          <w:sz w:val="24"/>
        </w:rPr>
        <w:t>。</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10.2如对本船的建造、机械设备或有关本船的材料或工艺质量引起争议或意见分歧，应将争议提交法定检验部门裁决，该结论是最终的，对双方均有约束力。</w:t>
      </w:r>
    </w:p>
    <w:p>
      <w:pPr>
        <w:tabs>
          <w:tab w:val="left" w:pos="525"/>
          <w:tab w:val="left" w:pos="840"/>
        </w:tabs>
        <w:spacing w:line="360" w:lineRule="auto"/>
        <w:ind w:firstLine="589"/>
        <w:jc w:val="both"/>
        <w:rPr>
          <w:rFonts w:hint="eastAsia" w:ascii="仿宋" w:hAnsi="仿宋" w:eastAsia="仿宋" w:cs="仿宋"/>
          <w:b/>
          <w:color w:val="auto"/>
          <w:sz w:val="24"/>
        </w:rPr>
      </w:pPr>
      <w:r>
        <w:rPr>
          <w:rFonts w:hint="eastAsia" w:ascii="仿宋" w:hAnsi="仿宋" w:eastAsia="仿宋" w:cs="仿宋"/>
          <w:b/>
          <w:color w:val="auto"/>
          <w:sz w:val="24"/>
        </w:rPr>
        <w:t>第十一条  其它</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11.1保险</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bCs/>
          <w:color w:val="auto"/>
          <w:kern w:val="0"/>
          <w:sz w:val="24"/>
        </w:rPr>
        <w:t>中标人应在保险公司为本船投保从船体下料开始直至签署交船文件止的船舶建造及相关保险。保险受益人为中标人，保单需真实有效，招标人有权随时调阅该保险单</w:t>
      </w:r>
      <w:r>
        <w:rPr>
          <w:rFonts w:hint="eastAsia" w:ascii="仿宋" w:hAnsi="仿宋" w:eastAsia="仿宋" w:cs="仿宋"/>
          <w:color w:val="auto"/>
          <w:sz w:val="24"/>
        </w:rPr>
        <w:t>。</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11.2安全责任</w:t>
      </w:r>
    </w:p>
    <w:p>
      <w:pPr>
        <w:tabs>
          <w:tab w:val="left" w:pos="525"/>
          <w:tab w:val="left" w:pos="84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在建造期内，如发生人</w:t>
      </w:r>
      <w:r>
        <w:rPr>
          <w:rFonts w:hint="eastAsia" w:ascii="仿宋" w:hAnsi="仿宋" w:eastAsia="仿宋" w:cs="仿宋"/>
          <w:color w:val="auto"/>
          <w:sz w:val="24"/>
          <w:lang w:val="en-US" w:eastAsia="zh-CN"/>
        </w:rPr>
        <w:t>身</w:t>
      </w:r>
      <w:r>
        <w:rPr>
          <w:rFonts w:hint="eastAsia" w:ascii="仿宋" w:hAnsi="仿宋" w:eastAsia="仿宋" w:cs="仿宋"/>
          <w:color w:val="auto"/>
          <w:sz w:val="24"/>
        </w:rPr>
        <w:t>伤亡事故和船机损坏事故，一切责任由乙方负责。</w:t>
      </w:r>
    </w:p>
    <w:p>
      <w:pPr>
        <w:autoSpaceDE w:val="0"/>
        <w:autoSpaceDN w:val="0"/>
        <w:spacing w:line="360" w:lineRule="auto"/>
        <w:ind w:firstLine="600" w:firstLineChars="250"/>
        <w:jc w:val="both"/>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11.3未经过甲方的同意，乙方不得转让其应履行的合同项下的义务，和将部分合同项下的义务分包给其他单位完成。</w:t>
      </w:r>
    </w:p>
    <w:p>
      <w:pPr>
        <w:autoSpaceDE w:val="0"/>
        <w:autoSpaceDN w:val="0"/>
        <w:spacing w:line="360" w:lineRule="auto"/>
        <w:ind w:firstLine="600" w:firstLineChars="250"/>
        <w:jc w:val="both"/>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11.4乙方不得参与可能与合同规定的与甲方的利益相冲突的任何活动。</w:t>
      </w:r>
    </w:p>
    <w:p>
      <w:pPr>
        <w:autoSpaceDE w:val="0"/>
        <w:autoSpaceDN w:val="0"/>
        <w:spacing w:line="360" w:lineRule="auto"/>
        <w:ind w:firstLine="600" w:firstLineChars="250"/>
        <w:jc w:val="both"/>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11.5乙方人员在甲方场地工作时，应遵守甲方相关规章、制度。</w:t>
      </w:r>
    </w:p>
    <w:p>
      <w:pPr>
        <w:autoSpaceDE w:val="0"/>
        <w:autoSpaceDN w:val="0"/>
        <w:spacing w:line="360" w:lineRule="auto"/>
        <w:ind w:firstLine="600" w:firstLineChars="250"/>
        <w:jc w:val="both"/>
        <w:rPr>
          <w:rFonts w:hint="eastAsia" w:ascii="仿宋" w:hAnsi="仿宋" w:eastAsia="仿宋" w:cs="仿宋"/>
          <w:color w:val="auto"/>
          <w:sz w:val="24"/>
        </w:rPr>
      </w:pPr>
      <w:r>
        <w:rPr>
          <w:rFonts w:hint="eastAsia" w:ascii="仿宋" w:hAnsi="仿宋" w:eastAsia="仿宋" w:cs="仿宋"/>
          <w:color w:val="auto"/>
          <w:kern w:val="0"/>
          <w:sz w:val="24"/>
          <w:lang w:val="zh-CN"/>
        </w:rPr>
        <w:t>11.6</w:t>
      </w:r>
      <w:r>
        <w:rPr>
          <w:rFonts w:hint="eastAsia" w:ascii="仿宋" w:hAnsi="仿宋" w:eastAsia="仿宋" w:cs="仿宋"/>
          <w:color w:val="auto"/>
          <w:sz w:val="24"/>
        </w:rPr>
        <w:t>本合同任何一方给另一方的通知，都应以书面或电传/传真/电报的形式发送，而另一方应以书面形式确认并发送到对方明确的地址。</w:t>
      </w:r>
    </w:p>
    <w:p>
      <w:pPr>
        <w:autoSpaceDE w:val="0"/>
        <w:autoSpaceDN w:val="0"/>
        <w:spacing w:line="360" w:lineRule="auto"/>
        <w:ind w:firstLine="600" w:firstLineChars="250"/>
        <w:jc w:val="both"/>
        <w:rPr>
          <w:rFonts w:hint="eastAsia" w:ascii="仿宋" w:hAnsi="仿宋" w:eastAsia="仿宋" w:cs="仿宋"/>
          <w:color w:val="auto"/>
          <w:sz w:val="24"/>
        </w:rPr>
      </w:pPr>
      <w:r>
        <w:rPr>
          <w:rFonts w:hint="eastAsia" w:ascii="仿宋" w:hAnsi="仿宋" w:eastAsia="仿宋" w:cs="仿宋"/>
          <w:color w:val="auto"/>
          <w:kern w:val="0"/>
          <w:sz w:val="24"/>
          <w:lang w:val="zh-CN"/>
        </w:rPr>
        <w:t>11.7</w:t>
      </w:r>
      <w:r>
        <w:rPr>
          <w:rFonts w:hint="eastAsia" w:ascii="仿宋" w:hAnsi="仿宋" w:eastAsia="仿宋" w:cs="仿宋"/>
          <w:color w:val="auto"/>
          <w:sz w:val="24"/>
        </w:rPr>
        <w:t>合同履行期内甲乙双方均不得随意变更或解除合同。合同若有未尽事宜，需双方共同协商，订立补充协议，补充协议与本合同有同等法律效力。</w:t>
      </w:r>
    </w:p>
    <w:p>
      <w:pPr>
        <w:autoSpaceDE w:val="0"/>
        <w:autoSpaceDN w:val="0"/>
        <w:spacing w:line="360" w:lineRule="auto"/>
        <w:ind w:firstLine="600" w:firstLineChars="250"/>
        <w:jc w:val="both"/>
        <w:rPr>
          <w:rFonts w:hint="eastAsia" w:ascii="仿宋" w:hAnsi="仿宋" w:eastAsia="仿宋" w:cs="仿宋"/>
          <w:color w:val="auto"/>
          <w:sz w:val="24"/>
        </w:rPr>
      </w:pPr>
      <w:r>
        <w:rPr>
          <w:rFonts w:hint="eastAsia" w:ascii="仿宋" w:hAnsi="仿宋" w:eastAsia="仿宋" w:cs="仿宋"/>
          <w:color w:val="auto"/>
          <w:kern w:val="0"/>
          <w:sz w:val="24"/>
          <w:lang w:val="zh-CN"/>
        </w:rPr>
        <w:t>11.8</w:t>
      </w:r>
      <w:r>
        <w:rPr>
          <w:rFonts w:hint="eastAsia" w:ascii="仿宋" w:hAnsi="仿宋" w:eastAsia="仿宋" w:cs="仿宋"/>
          <w:color w:val="auto"/>
          <w:sz w:val="24"/>
        </w:rPr>
        <w:t>招标文件、投标文件及评标过程中形成的文字资料、询标纪要均作为本合同的组成部分，具有同等效力。</w:t>
      </w:r>
    </w:p>
    <w:p>
      <w:pPr>
        <w:autoSpaceDE w:val="0"/>
        <w:autoSpaceDN w:val="0"/>
        <w:spacing w:line="360" w:lineRule="auto"/>
        <w:ind w:firstLine="600" w:firstLineChars="250"/>
        <w:jc w:val="both"/>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11.9</w:t>
      </w:r>
      <w:r>
        <w:rPr>
          <w:rFonts w:hint="eastAsia" w:ascii="仿宋" w:hAnsi="仿宋" w:eastAsia="仿宋" w:cs="仿宋"/>
          <w:color w:val="auto"/>
          <w:sz w:val="24"/>
          <w:highlight w:val="none"/>
        </w:rPr>
        <w:t>本合同经甲乙双方法定代表人或其</w:t>
      </w:r>
      <w:r>
        <w:rPr>
          <w:rFonts w:hint="eastAsia" w:ascii="仿宋" w:hAnsi="仿宋" w:eastAsia="仿宋" w:cs="仿宋"/>
          <w:color w:val="auto"/>
          <w:sz w:val="24"/>
          <w:highlight w:val="none"/>
          <w:lang w:val="en-US" w:eastAsia="zh-CN"/>
        </w:rPr>
        <w:t>受</w:t>
      </w:r>
      <w:r>
        <w:rPr>
          <w:rFonts w:hint="eastAsia" w:ascii="仿宋" w:hAnsi="仿宋" w:eastAsia="仿宋" w:cs="仿宋"/>
          <w:color w:val="auto"/>
          <w:sz w:val="24"/>
          <w:highlight w:val="none"/>
        </w:rPr>
        <w:t>委托人签字盖章，由乙方向甲方缴纳</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%履约保证金</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银行</w:t>
      </w:r>
      <w:r>
        <w:rPr>
          <w:rFonts w:hint="eastAsia" w:ascii="仿宋" w:hAnsi="仿宋" w:eastAsia="仿宋" w:cs="仿宋"/>
          <w:color w:val="auto"/>
          <w:sz w:val="24"/>
          <w:highlight w:val="none"/>
        </w:rPr>
        <w:t>保函</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zh-CN"/>
        </w:rPr>
        <w:t>后生效</w:t>
      </w:r>
      <w:r>
        <w:rPr>
          <w:rFonts w:hint="eastAsia" w:ascii="仿宋" w:hAnsi="仿宋" w:eastAsia="仿宋" w:cs="仿宋"/>
          <w:color w:val="auto"/>
          <w:sz w:val="24"/>
          <w:highlight w:val="none"/>
        </w:rPr>
        <w:t>。</w:t>
      </w:r>
    </w:p>
    <w:p>
      <w:pPr>
        <w:autoSpaceDE w:val="0"/>
        <w:autoSpaceDN w:val="0"/>
        <w:spacing w:line="360" w:lineRule="auto"/>
        <w:ind w:firstLine="600" w:firstLineChars="250"/>
        <w:jc w:val="both"/>
        <w:rPr>
          <w:rFonts w:hint="eastAsia" w:ascii="仿宋" w:hAnsi="仿宋" w:eastAsia="仿宋" w:cs="仿宋"/>
          <w:color w:val="auto"/>
          <w:sz w:val="24"/>
        </w:rPr>
      </w:pPr>
      <w:r>
        <w:rPr>
          <w:rFonts w:hint="eastAsia" w:ascii="仿宋" w:hAnsi="仿宋" w:eastAsia="仿宋" w:cs="仿宋"/>
          <w:color w:val="auto"/>
          <w:kern w:val="0"/>
          <w:sz w:val="24"/>
          <w:lang w:val="zh-CN"/>
        </w:rPr>
        <w:t>11.10</w:t>
      </w:r>
      <w:r>
        <w:rPr>
          <w:rFonts w:hint="eastAsia" w:ascii="仿宋" w:hAnsi="仿宋" w:eastAsia="仿宋" w:cs="仿宋"/>
          <w:color w:val="auto"/>
          <w:sz w:val="24"/>
        </w:rPr>
        <w:t>本合同一式伍份，甲方执贰份、乙方执贰份、采购代理机构执壹份。</w:t>
      </w:r>
    </w:p>
    <w:p>
      <w:pPr>
        <w:autoSpaceDE w:val="0"/>
        <w:autoSpaceDN w:val="0"/>
        <w:spacing w:line="360" w:lineRule="auto"/>
        <w:ind w:firstLine="600" w:firstLineChars="250"/>
        <w:jc w:val="both"/>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11.11适用法律：本合同应按照中华人民共和国的法律进行解释。</w:t>
      </w:r>
    </w:p>
    <w:p>
      <w:pPr>
        <w:autoSpaceDE w:val="0"/>
        <w:autoSpaceDN w:val="0"/>
        <w:spacing w:line="360" w:lineRule="auto"/>
        <w:ind w:firstLine="600" w:firstLineChars="250"/>
        <w:jc w:val="both"/>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11.12本船所涉及的设计和施工的图纸、方案，技术文件、建造工艺等资料均为甲方所有，属于甲方知识产权，未经甲方书面同意不得透露给第三方</w:t>
      </w:r>
      <w:r>
        <w:rPr>
          <w:rFonts w:hint="eastAsia" w:ascii="仿宋" w:hAnsi="仿宋" w:eastAsia="仿宋" w:cs="仿宋"/>
          <w:color w:val="auto"/>
          <w:kern w:val="0"/>
          <w:sz w:val="24"/>
          <w:lang w:val="en-US" w:eastAsia="zh-CN"/>
        </w:rPr>
        <w:t>或者擅自使用</w:t>
      </w:r>
      <w:r>
        <w:rPr>
          <w:rFonts w:hint="eastAsia" w:ascii="仿宋" w:hAnsi="仿宋" w:eastAsia="仿宋" w:cs="仿宋"/>
          <w:color w:val="auto"/>
          <w:kern w:val="0"/>
          <w:sz w:val="24"/>
          <w:lang w:val="zh-CN"/>
        </w:rPr>
        <w:t>，更不得用于申请专利，否则视为违约，甲方有权追究</w:t>
      </w:r>
      <w:r>
        <w:rPr>
          <w:rFonts w:hint="eastAsia" w:ascii="仿宋" w:hAnsi="仿宋" w:eastAsia="仿宋" w:cs="仿宋"/>
          <w:color w:val="auto"/>
          <w:kern w:val="0"/>
          <w:sz w:val="24"/>
          <w:lang w:val="en-US" w:eastAsia="zh-CN"/>
        </w:rPr>
        <w:t>乙方</w:t>
      </w:r>
      <w:r>
        <w:rPr>
          <w:rFonts w:hint="eastAsia" w:ascii="仿宋" w:hAnsi="仿宋" w:eastAsia="仿宋" w:cs="仿宋"/>
          <w:color w:val="auto"/>
          <w:kern w:val="0"/>
          <w:sz w:val="24"/>
          <w:lang w:val="zh-CN"/>
        </w:rPr>
        <w:t>违约责任和赔偿责任。</w:t>
      </w:r>
    </w:p>
    <w:p>
      <w:pPr>
        <w:autoSpaceDE w:val="0"/>
        <w:autoSpaceDN w:val="0"/>
        <w:spacing w:line="560" w:lineRule="exact"/>
        <w:rPr>
          <w:rFonts w:hint="eastAsia" w:ascii="仿宋" w:hAnsi="仿宋" w:eastAsia="仿宋" w:cs="仿宋"/>
          <w:color w:val="auto"/>
          <w:sz w:val="24"/>
          <w:lang w:val="zh-CN"/>
        </w:rPr>
      </w:pP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b/>
          <w:color w:val="auto"/>
          <w:sz w:val="24"/>
          <w:lang w:val="zh-CN"/>
        </w:rPr>
        <w:t>甲方</w:t>
      </w:r>
      <w:r>
        <w:rPr>
          <w:rFonts w:hint="eastAsia" w:ascii="仿宋" w:hAnsi="仿宋" w:eastAsia="仿宋" w:cs="仿宋"/>
          <w:color w:val="auto"/>
          <w:sz w:val="24"/>
          <w:lang w:val="zh-CN"/>
        </w:rPr>
        <w:t xml:space="preserve">：                             </w:t>
      </w:r>
      <w:r>
        <w:rPr>
          <w:rFonts w:hint="eastAsia" w:ascii="仿宋" w:hAnsi="仿宋" w:eastAsia="仿宋" w:cs="仿宋"/>
          <w:b/>
          <w:color w:val="auto"/>
          <w:sz w:val="24"/>
          <w:lang w:val="zh-CN"/>
        </w:rPr>
        <w:t xml:space="preserve">      乙方</w:t>
      </w:r>
      <w:r>
        <w:rPr>
          <w:rFonts w:hint="eastAsia" w:ascii="仿宋" w:hAnsi="仿宋" w:eastAsia="仿宋" w:cs="仿宋"/>
          <w:color w:val="auto"/>
          <w:sz w:val="24"/>
          <w:lang w:val="zh-CN"/>
        </w:rPr>
        <w:t>：</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统一社会信用代码：                        统一社会信用代码或身份证号码：</w:t>
      </w:r>
    </w:p>
    <w:p>
      <w:pPr>
        <w:autoSpaceDE w:val="0"/>
        <w:autoSpaceDN w:val="0"/>
        <w:spacing w:line="560" w:lineRule="exact"/>
        <w:rPr>
          <w:rFonts w:hint="eastAsia" w:ascii="仿宋" w:hAnsi="仿宋" w:eastAsia="仿宋" w:cs="仿宋"/>
          <w:color w:val="auto"/>
          <w:sz w:val="24"/>
          <w:lang w:val="zh-CN"/>
        </w:rPr>
      </w:pP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住所：                                   住所：</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法定代表人或                             法定代表人</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授权代表（签字）：                        或授权代表（签字）: </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联系人：                                 联系人：</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约定送达地址：                           约定送达地址：</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邮政编码：                               邮政编码：</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电话:                                    电话: </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传真:                                    传真:</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lang w:val="zh-CN"/>
        </w:rPr>
        <w:t>电子邮箱：                               电子邮箱：</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rPr>
        <w:t xml:space="preserve">开户银行：                               开户银行： </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rPr>
        <w:t xml:space="preserve">开户名称：                               开户名称： </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rPr>
        <w:t>开户账号：</w:t>
      </w:r>
      <w:r>
        <w:rPr>
          <w:rFonts w:hint="eastAsia" w:ascii="仿宋" w:hAnsi="仿宋" w:eastAsia="仿宋" w:cs="仿宋"/>
          <w:color w:val="auto"/>
          <w:sz w:val="24"/>
          <w:lang w:val="zh-CN"/>
        </w:rPr>
        <w:t xml:space="preserve">                               </w:t>
      </w:r>
      <w:r>
        <w:rPr>
          <w:rFonts w:hint="eastAsia" w:ascii="仿宋" w:hAnsi="仿宋" w:eastAsia="仿宋" w:cs="仿宋"/>
          <w:color w:val="auto"/>
          <w:sz w:val="24"/>
        </w:rPr>
        <w:t>开户账号：</w:t>
      </w:r>
    </w:p>
    <w:p>
      <w:pPr>
        <w:pStyle w:val="6"/>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rPr>
      </w:pPr>
    </w:p>
    <w:p>
      <w:pPr>
        <w:spacing w:line="360" w:lineRule="auto"/>
        <w:ind w:left="720" w:firstLine="723" w:firstLineChars="200"/>
        <w:outlineLvl w:val="0"/>
        <w:rPr>
          <w:rFonts w:hint="eastAsia" w:ascii="仿宋" w:hAnsi="仿宋" w:eastAsia="仿宋" w:cs="仿宋"/>
          <w:b/>
          <w:color w:val="auto"/>
          <w:sz w:val="36"/>
          <w:szCs w:val="20"/>
        </w:rPr>
      </w:pPr>
    </w:p>
    <w:p>
      <w:pPr>
        <w:spacing w:line="360" w:lineRule="auto"/>
        <w:ind w:left="720" w:firstLine="723" w:firstLineChars="200"/>
        <w:outlineLvl w:val="0"/>
        <w:rPr>
          <w:rFonts w:hint="eastAsia" w:ascii="仿宋" w:hAnsi="仿宋" w:eastAsia="仿宋" w:cs="仿宋"/>
          <w:b/>
          <w:color w:val="auto"/>
          <w:sz w:val="36"/>
          <w:szCs w:val="20"/>
        </w:rPr>
      </w:pPr>
    </w:p>
    <w:p>
      <w:pPr>
        <w:spacing w:line="360" w:lineRule="auto"/>
        <w:ind w:left="720" w:firstLine="723" w:firstLineChars="200"/>
        <w:outlineLvl w:val="0"/>
        <w:rPr>
          <w:rFonts w:hint="eastAsia" w:ascii="仿宋" w:hAnsi="仿宋" w:eastAsia="仿宋" w:cs="仿宋"/>
          <w:b/>
          <w:color w:val="auto"/>
          <w:sz w:val="36"/>
          <w:szCs w:val="20"/>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pacing w:line="360" w:lineRule="auto"/>
        <w:ind w:left="720" w:firstLine="723" w:firstLineChars="200"/>
        <w:outlineLvl w:val="0"/>
        <w:rPr>
          <w:rFonts w:hint="eastAsia" w:ascii="仿宋" w:hAnsi="仿宋" w:eastAsia="仿宋" w:cs="仿宋"/>
          <w:b/>
          <w:color w:val="auto"/>
          <w:sz w:val="36"/>
          <w:szCs w:val="20"/>
        </w:rPr>
      </w:pPr>
      <w:r>
        <w:rPr>
          <w:rFonts w:hint="eastAsia" w:ascii="仿宋" w:hAnsi="仿宋" w:eastAsia="仿宋" w:cs="仿宋"/>
          <w:b/>
          <w:color w:val="auto"/>
          <w:sz w:val="36"/>
          <w:szCs w:val="20"/>
        </w:rPr>
        <w:t>第六部分</w:t>
      </w:r>
      <w:bookmarkEnd w:id="395"/>
      <w:r>
        <w:rPr>
          <w:rFonts w:hint="eastAsia" w:ascii="仿宋" w:hAnsi="仿宋" w:eastAsia="仿宋" w:cs="仿宋"/>
          <w:b/>
          <w:color w:val="auto"/>
          <w:sz w:val="36"/>
          <w:szCs w:val="20"/>
        </w:rPr>
        <w:t xml:space="preserve"> </w:t>
      </w:r>
      <w:bookmarkEnd w:id="396"/>
      <w:r>
        <w:rPr>
          <w:rFonts w:hint="eastAsia" w:ascii="仿宋" w:hAnsi="仿宋" w:eastAsia="仿宋" w:cs="仿宋"/>
          <w:b/>
          <w:color w:val="auto"/>
          <w:sz w:val="36"/>
          <w:szCs w:val="20"/>
        </w:rPr>
        <w:t>应提交的有关格式范例</w:t>
      </w:r>
    </w:p>
    <w:p>
      <w:pPr>
        <w:spacing w:line="360" w:lineRule="auto"/>
        <w:jc w:val="center"/>
        <w:outlineLvl w:val="0"/>
        <w:rPr>
          <w:rFonts w:hint="eastAsia" w:ascii="仿宋" w:hAnsi="仿宋" w:eastAsia="仿宋" w:cs="仿宋"/>
          <w:b/>
          <w:color w:val="auto"/>
          <w:kern w:val="0"/>
          <w:sz w:val="36"/>
          <w:szCs w:val="36"/>
        </w:rPr>
      </w:pP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资格文件部分</w:t>
      </w: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（1）符合参加采购活动应当具备的一般条件的承诺函……………（页码）</w:t>
      </w:r>
    </w:p>
    <w:p>
      <w:pPr>
        <w:snapToGrid w:val="0"/>
        <w:spacing w:line="360" w:lineRule="auto"/>
        <w:rPr>
          <w:rFonts w:hint="eastAsia" w:ascii="仿宋" w:hAnsi="仿宋" w:eastAsia="仿宋" w:cs="仿宋"/>
          <w:color w:val="auto"/>
          <w:sz w:val="24"/>
        </w:rPr>
      </w:pPr>
      <w:r>
        <w:rPr>
          <w:rFonts w:hint="eastAsia" w:ascii="仿宋" w:hAnsi="仿宋" w:eastAsia="仿宋" w:cs="仿宋"/>
          <w:snapToGrid w:val="0"/>
          <w:color w:val="auto"/>
          <w:kern w:val="28"/>
          <w:sz w:val="24"/>
          <w:szCs w:val="20"/>
        </w:rPr>
        <w:t>（2）联合协议</w:t>
      </w:r>
      <w:r>
        <w:rPr>
          <w:rFonts w:hint="eastAsia" w:ascii="仿宋" w:hAnsi="仿宋" w:eastAsia="仿宋" w:cs="仿宋"/>
          <w:color w:val="auto"/>
          <w:sz w:val="24"/>
          <w:lang w:eastAsia="zh-CN"/>
        </w:rPr>
        <w:t>（如有）</w:t>
      </w:r>
      <w:r>
        <w:rPr>
          <w:rFonts w:hint="eastAsia" w:ascii="仿宋" w:hAnsi="仿宋" w:eastAsia="仿宋" w:cs="仿宋"/>
          <w:color w:val="auto"/>
          <w:sz w:val="24"/>
        </w:rPr>
        <w:t>………………………………………………（页码）</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（3）需满足的资格要求</w:t>
      </w:r>
      <w:r>
        <w:rPr>
          <w:rFonts w:hint="eastAsia" w:ascii="仿宋" w:hAnsi="仿宋" w:eastAsia="仿宋" w:cs="仿宋"/>
          <w:color w:val="auto"/>
          <w:sz w:val="24"/>
          <w:lang w:eastAsia="zh-CN"/>
        </w:rPr>
        <w:t>（如有）</w:t>
      </w:r>
      <w:r>
        <w:rPr>
          <w:rFonts w:hint="eastAsia" w:ascii="仿宋" w:hAnsi="仿宋" w:eastAsia="仿宋" w:cs="仿宋"/>
          <w:color w:val="auto"/>
          <w:sz w:val="24"/>
        </w:rPr>
        <w:t>……………………………………（页码）</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（4）本项目的特定资格要求</w:t>
      </w:r>
      <w:r>
        <w:rPr>
          <w:rFonts w:hint="eastAsia" w:ascii="仿宋" w:hAnsi="仿宋" w:eastAsia="仿宋" w:cs="仿宋"/>
          <w:color w:val="auto"/>
          <w:sz w:val="24"/>
          <w:lang w:eastAsia="zh-CN"/>
        </w:rPr>
        <w:t>（如有）</w:t>
      </w:r>
      <w:r>
        <w:rPr>
          <w:rFonts w:hint="eastAsia" w:ascii="仿宋" w:hAnsi="仿宋" w:eastAsia="仿宋" w:cs="仿宋"/>
          <w:color w:val="auto"/>
          <w:sz w:val="24"/>
        </w:rPr>
        <w:t>………………………………（页码）</w:t>
      </w:r>
    </w:p>
    <w:p>
      <w:pPr>
        <w:snapToGrid w:val="0"/>
        <w:spacing w:line="360" w:lineRule="auto"/>
        <w:rPr>
          <w:rFonts w:hint="eastAsia" w:ascii="仿宋" w:hAnsi="仿宋" w:eastAsia="仿宋" w:cs="仿宋"/>
          <w:color w:val="auto"/>
          <w:sz w:val="24"/>
        </w:rPr>
      </w:pPr>
    </w:p>
    <w:p>
      <w:pPr>
        <w:snapToGrid w:val="0"/>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snapToGrid w:val="0"/>
        <w:spacing w:line="360" w:lineRule="auto"/>
        <w:ind w:right="480"/>
        <w:jc w:val="center"/>
        <w:rPr>
          <w:rFonts w:hint="eastAsia" w:ascii="仿宋" w:hAnsi="仿宋" w:eastAsia="仿宋" w:cs="仿宋"/>
          <w:b/>
          <w:color w:val="auto"/>
          <w:kern w:val="0"/>
          <w:sz w:val="32"/>
          <w:szCs w:val="32"/>
        </w:rPr>
      </w:pPr>
      <w:r>
        <w:rPr>
          <w:rFonts w:hint="eastAsia" w:ascii="仿宋" w:hAnsi="仿宋" w:eastAsia="仿宋" w:cs="仿宋"/>
          <w:color w:val="auto"/>
          <w:kern w:val="0"/>
          <w:sz w:val="24"/>
        </w:rPr>
        <w:br w:type="page"/>
      </w:r>
      <w:r>
        <w:rPr>
          <w:rFonts w:hint="eastAsia" w:ascii="仿宋" w:hAnsi="仿宋" w:eastAsia="仿宋" w:cs="仿宋"/>
          <w:b/>
          <w:color w:val="auto"/>
          <w:kern w:val="0"/>
          <w:sz w:val="32"/>
          <w:szCs w:val="32"/>
        </w:rPr>
        <w:t xml:space="preserve">  一、 符合参加采购活动应当具备的一般条件的承诺函</w:t>
      </w:r>
    </w:p>
    <w:p>
      <w:pPr>
        <w:snapToGrid w:val="0"/>
        <w:spacing w:line="360" w:lineRule="auto"/>
        <w:ind w:firstLine="480" w:firstLineChars="200"/>
        <w:rPr>
          <w:rFonts w:hint="eastAsia" w:ascii="仿宋" w:hAnsi="仿宋" w:eastAsia="仿宋" w:cs="仿宋"/>
          <w:color w:val="auto"/>
          <w:sz w:val="24"/>
          <w:u w:val="none"/>
          <w:lang w:val="en-US" w:eastAsia="zh-CN"/>
        </w:rPr>
      </w:pPr>
      <w:r>
        <w:rPr>
          <w:rFonts w:hint="eastAsia" w:ascii="仿宋" w:hAnsi="仿宋" w:eastAsia="仿宋" w:cs="仿宋"/>
          <w:color w:val="auto"/>
          <w:sz w:val="24"/>
          <w:u w:val="none"/>
          <w:lang w:val="en-US" w:eastAsia="zh-CN"/>
        </w:rPr>
        <w:t>淳安县两山生态资源经营开发有限公司</w:t>
      </w:r>
      <w:r>
        <w:rPr>
          <w:rFonts w:hint="eastAsia" w:ascii="仿宋" w:hAnsi="仿宋" w:eastAsia="仿宋" w:cs="仿宋"/>
          <w:color w:val="auto"/>
          <w:sz w:val="24"/>
          <w:u w:val="none"/>
          <w:lang w:val="en-US" w:eastAsia="zh-CN"/>
        </w:rPr>
        <w:tab/>
      </w:r>
      <w:r>
        <w:rPr>
          <w:rFonts w:hint="eastAsia" w:ascii="仿宋" w:hAnsi="仿宋" w:eastAsia="仿宋" w:cs="仿宋"/>
          <w:color w:val="auto"/>
          <w:sz w:val="24"/>
          <w:u w:val="none"/>
          <w:lang w:val="en-US" w:eastAsia="zh-CN"/>
        </w:rPr>
        <w:t>、东方经纬项目管理有限公司：</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我方参与</w:t>
      </w:r>
      <w:r>
        <w:rPr>
          <w:rFonts w:hint="eastAsia" w:ascii="仿宋" w:hAnsi="仿宋" w:eastAsia="仿宋" w:cs="仿宋"/>
          <w:color w:val="auto"/>
          <w:sz w:val="24"/>
          <w:lang w:eastAsia="zh-CN"/>
        </w:rPr>
        <w:t>两山公司一期（首批）项目建设支撑体系设备（5）巡护船（艇）采购项目</w:t>
      </w:r>
      <w:r>
        <w:rPr>
          <w:rFonts w:hint="eastAsia" w:ascii="仿宋" w:hAnsi="仿宋" w:eastAsia="仿宋" w:cs="仿宋"/>
          <w:color w:val="auto"/>
          <w:sz w:val="24"/>
        </w:rPr>
        <w:t>【招标编号：</w:t>
      </w:r>
      <w:r>
        <w:rPr>
          <w:rFonts w:hint="eastAsia" w:ascii="仿宋" w:hAnsi="仿宋" w:eastAsia="仿宋" w:cs="仿宋"/>
          <w:color w:val="auto"/>
          <w:sz w:val="24"/>
          <w:lang w:eastAsia="zh-CN"/>
        </w:rPr>
        <w:t>DFJW2023-CA-0</w:t>
      </w:r>
      <w:r>
        <w:rPr>
          <w:rFonts w:hint="eastAsia" w:ascii="仿宋" w:hAnsi="仿宋" w:eastAsia="仿宋" w:cs="仿宋"/>
          <w:color w:val="auto"/>
          <w:sz w:val="24"/>
          <w:lang w:val="en-US" w:eastAsia="zh-CN"/>
        </w:rPr>
        <w:t>20</w:t>
      </w:r>
      <w:r>
        <w:rPr>
          <w:rFonts w:hint="eastAsia" w:ascii="仿宋" w:hAnsi="仿宋" w:eastAsia="仿宋" w:cs="仿宋"/>
          <w:color w:val="auto"/>
          <w:sz w:val="24"/>
          <w:lang w:eastAsia="zh-CN"/>
        </w:rPr>
        <w:t>号</w:t>
      </w:r>
      <w:r>
        <w:rPr>
          <w:rFonts w:hint="eastAsia" w:ascii="仿宋" w:hAnsi="仿宋" w:eastAsia="仿宋" w:cs="仿宋"/>
          <w:color w:val="auto"/>
          <w:sz w:val="24"/>
        </w:rPr>
        <w:t>】采购活动，郑重承诺：</w:t>
      </w:r>
    </w:p>
    <w:p>
      <w:pPr>
        <w:snapToGrid w:val="0"/>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（一）具备</w:t>
      </w:r>
      <w:r>
        <w:rPr>
          <w:rFonts w:hint="eastAsia" w:ascii="仿宋" w:hAnsi="仿宋" w:eastAsia="仿宋" w:cs="仿宋"/>
          <w:color w:val="auto"/>
          <w:sz w:val="24"/>
          <w:lang w:val="en-US" w:eastAsia="zh-CN"/>
        </w:rPr>
        <w:t>以下</w:t>
      </w:r>
      <w:r>
        <w:rPr>
          <w:rFonts w:hint="eastAsia" w:ascii="仿宋" w:hAnsi="仿宋" w:eastAsia="仿宋" w:cs="仿宋"/>
          <w:color w:val="auto"/>
          <w:sz w:val="24"/>
        </w:rPr>
        <w:t>规定的条件：</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1、具有独立承担民事责任的能力；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3、具有履行合同所必需的设备和专业技术能力；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4、有依法缴纳税收和社会保障资金的良好记录；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w:t>
      </w:r>
      <w:r>
        <w:rPr>
          <w:rFonts w:hint="eastAsia" w:ascii="仿宋" w:hAnsi="仿宋" w:eastAsia="仿宋" w:cs="仿宋"/>
          <w:color w:val="auto"/>
          <w:sz w:val="24"/>
          <w:lang w:val="zh-CN"/>
        </w:rPr>
        <w:t>参加采购活动前三年内，在经营活动中没有重大违法记录（包括在本平台交易中无串标、提供虚假资料等记录）</w:t>
      </w:r>
      <w:r>
        <w:rPr>
          <w:rFonts w:hint="eastAsia" w:ascii="仿宋" w:hAnsi="仿宋" w:eastAsia="仿宋" w:cs="仿宋"/>
          <w:color w:val="auto"/>
          <w:sz w:val="24"/>
        </w:rPr>
        <w:t>；</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6、具有法律、行政法规规定的其他条件。</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（三）不存在以下情况：</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1、单位负责人为同一人或者存在直接控股、管理关系的不同供应商参加同一合同项下的采购活动的；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rPr>
      </w:pPr>
      <w:r>
        <w:rPr>
          <w:rFonts w:hint="eastAsia" w:ascii="仿宋" w:hAnsi="仿宋" w:eastAsia="仿宋" w:cs="仿宋"/>
          <w:color w:val="auto"/>
          <w:kern w:val="0"/>
          <w:sz w:val="24"/>
          <w:lang w:val="zh-CN"/>
        </w:rPr>
        <w:t>投标人名称(电子签名)：</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 xml:space="preserve">：  年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w:t>
      </w: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rPr>
          <w:rFonts w:hint="eastAsia" w:ascii="仿宋" w:hAnsi="仿宋" w:eastAsia="仿宋" w:cs="仿宋"/>
          <w:color w:val="auto"/>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widowControl/>
        <w:spacing w:line="360" w:lineRule="auto"/>
        <w:ind w:firstLine="643" w:firstLineChars="20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二、联合协议（如果有）</w:t>
      </w:r>
    </w:p>
    <w:p>
      <w:pPr>
        <w:widowControl/>
        <w:spacing w:line="360"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[以联合体形式投标的，提供联合协议（附件</w:t>
      </w:r>
      <w:r>
        <w:rPr>
          <w:rFonts w:hint="eastAsia" w:ascii="仿宋" w:hAnsi="仿宋" w:eastAsia="仿宋" w:cs="仿宋"/>
          <w:b/>
          <w:color w:val="auto"/>
          <w:sz w:val="24"/>
          <w:lang w:val="en-US" w:eastAsia="zh-CN"/>
        </w:rPr>
        <w:t>6</w:t>
      </w:r>
      <w:r>
        <w:rPr>
          <w:rFonts w:hint="eastAsia" w:ascii="仿宋" w:hAnsi="仿宋" w:eastAsia="仿宋" w:cs="仿宋"/>
          <w:b/>
          <w:color w:val="auto"/>
          <w:sz w:val="24"/>
        </w:rPr>
        <w:t>）；本项目不接受联合体投标或者投标人不以联合体形式投标的，则不需要提供]</w:t>
      </w: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三、需满足的资格要求</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（根据招标公告落实需满足的资格要求选择提供相应的材料；未要求的，无需提供）</w:t>
      </w:r>
    </w:p>
    <w:p>
      <w:pPr>
        <w:widowControl/>
        <w:spacing w:line="360" w:lineRule="auto"/>
        <w:ind w:firstLine="480"/>
        <w:jc w:val="left"/>
        <w:rPr>
          <w:rFonts w:hint="eastAsia" w:ascii="仿宋" w:hAnsi="仿宋" w:eastAsia="仿宋" w:cs="仿宋"/>
          <w:color w:val="auto"/>
          <w:sz w:val="24"/>
        </w:rPr>
      </w:pPr>
    </w:p>
    <w:p>
      <w:pPr>
        <w:widowControl/>
        <w:spacing w:line="360" w:lineRule="auto"/>
        <w:ind w:firstLine="472" w:firstLineChars="196"/>
        <w:jc w:val="left"/>
        <w:rPr>
          <w:rFonts w:hint="eastAsia" w:ascii="仿宋" w:hAnsi="仿宋" w:eastAsia="仿宋" w:cs="仿宋"/>
          <w:color w:val="auto"/>
          <w:sz w:val="24"/>
        </w:rPr>
      </w:pPr>
      <w:r>
        <w:rPr>
          <w:rFonts w:hint="eastAsia" w:ascii="仿宋" w:hAnsi="仿宋" w:eastAsia="仿宋" w:cs="仿宋"/>
          <w:b/>
          <w:color w:val="auto"/>
          <w:sz w:val="24"/>
          <w:lang w:val="en-US" w:eastAsia="zh-CN"/>
        </w:rPr>
        <w:t>A</w:t>
      </w:r>
      <w:r>
        <w:rPr>
          <w:rFonts w:hint="eastAsia" w:ascii="仿宋" w:hAnsi="仿宋" w:eastAsia="仿宋" w:cs="仿宋"/>
          <w:b/>
          <w:color w:val="auto"/>
          <w:sz w:val="24"/>
        </w:rPr>
        <w:t>.</w:t>
      </w:r>
      <w:r>
        <w:rPr>
          <w:rFonts w:hint="eastAsia" w:ascii="仿宋" w:hAnsi="仿宋" w:eastAsia="仿宋" w:cs="仿宋"/>
          <w:color w:val="auto"/>
          <w:sz w:val="24"/>
        </w:rPr>
        <w:t>要求以联合体形式参加的，提供联合协议（附件</w:t>
      </w:r>
      <w:r>
        <w:rPr>
          <w:rFonts w:hint="eastAsia" w:ascii="仿宋" w:hAnsi="仿宋" w:eastAsia="仿宋" w:cs="仿宋"/>
          <w:color w:val="auto"/>
          <w:sz w:val="24"/>
          <w:lang w:val="en-US" w:eastAsia="zh-CN"/>
        </w:rPr>
        <w:t>6</w:t>
      </w:r>
      <w:r>
        <w:rPr>
          <w:rFonts w:hint="eastAsia" w:ascii="仿宋" w:hAnsi="仿宋" w:eastAsia="仿宋" w:cs="仿宋"/>
          <w:color w:val="auto"/>
          <w:sz w:val="24"/>
        </w:rPr>
        <w:t>），联合协议中中小企业合同金额应当达到招标公告载明的比例；如果供应商本身提供所有标的均由中小企业制造的，</w:t>
      </w:r>
      <w:r>
        <w:rPr>
          <w:rFonts w:hint="eastAsia" w:ascii="仿宋" w:hAnsi="仿宋" w:eastAsia="仿宋" w:cs="仿宋"/>
          <w:color w:val="auto"/>
          <w:spacing w:val="8"/>
          <w:kern w:val="0"/>
          <w:sz w:val="24"/>
        </w:rPr>
        <w:t>并相应达到了前述比例要求，</w:t>
      </w:r>
      <w:r>
        <w:rPr>
          <w:rFonts w:hint="eastAsia" w:ascii="仿宋" w:hAnsi="仿宋" w:eastAsia="仿宋" w:cs="仿宋"/>
          <w:color w:val="auto"/>
          <w:sz w:val="24"/>
        </w:rPr>
        <w:t>视同符合了资格条件，无需再与其他中小企业组成联合体参加采购活动，无需提供联合协议。</w:t>
      </w:r>
    </w:p>
    <w:p>
      <w:pPr>
        <w:snapToGrid w:val="0"/>
        <w:spacing w:before="50" w:after="50" w:line="360" w:lineRule="auto"/>
        <w:jc w:val="center"/>
        <w:rPr>
          <w:rFonts w:hint="eastAsia" w:ascii="仿宋" w:hAnsi="仿宋" w:eastAsia="仿宋" w:cs="仿宋"/>
          <w:color w:val="auto"/>
          <w:sz w:val="24"/>
        </w:rPr>
      </w:pPr>
      <w:r>
        <w:rPr>
          <w:rFonts w:hint="eastAsia" w:ascii="仿宋" w:hAnsi="仿宋" w:eastAsia="仿宋" w:cs="仿宋"/>
          <w:b/>
          <w:color w:val="auto"/>
          <w:sz w:val="24"/>
        </w:rPr>
        <w:t xml:space="preserve">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lang w:val="en-US" w:eastAsia="zh-CN"/>
        </w:rPr>
        <w:t>B</w:t>
      </w:r>
      <w:r>
        <w:rPr>
          <w:rFonts w:hint="eastAsia" w:ascii="仿宋" w:hAnsi="仿宋" w:eastAsia="仿宋" w:cs="仿宋"/>
          <w:b/>
          <w:color w:val="auto"/>
          <w:sz w:val="24"/>
        </w:rPr>
        <w:t>、</w:t>
      </w:r>
      <w:r>
        <w:rPr>
          <w:rFonts w:hint="eastAsia" w:ascii="仿宋" w:hAnsi="仿宋" w:eastAsia="仿宋" w:cs="仿宋"/>
          <w:color w:val="auto"/>
          <w:sz w:val="24"/>
        </w:rPr>
        <w:t>要求合同分包的，提供分包意向协议（附件</w:t>
      </w:r>
      <w:r>
        <w:rPr>
          <w:rFonts w:hint="eastAsia" w:ascii="仿宋" w:hAnsi="仿宋" w:eastAsia="仿宋" w:cs="仿宋"/>
          <w:color w:val="auto"/>
          <w:sz w:val="24"/>
          <w:lang w:val="en-US" w:eastAsia="zh-CN"/>
        </w:rPr>
        <w:t>7</w:t>
      </w:r>
      <w:r>
        <w:rPr>
          <w:rFonts w:hint="eastAsia" w:ascii="仿宋" w:hAnsi="仿宋" w:eastAsia="仿宋" w:cs="仿宋"/>
          <w:color w:val="auto"/>
          <w:sz w:val="24"/>
        </w:rPr>
        <w:t>），分包意向协议中中小企业合同金额应当达到招标公告载明的比例；如果供应商本身提供所有标的均由中小企业制造的，</w:t>
      </w:r>
      <w:r>
        <w:rPr>
          <w:rFonts w:hint="eastAsia" w:ascii="仿宋" w:hAnsi="仿宋" w:eastAsia="仿宋" w:cs="仿宋"/>
          <w:color w:val="auto"/>
          <w:spacing w:val="8"/>
          <w:kern w:val="0"/>
          <w:sz w:val="24"/>
        </w:rPr>
        <w:t>并相应达到了前述比例要求，</w:t>
      </w:r>
      <w:r>
        <w:rPr>
          <w:rFonts w:hint="eastAsia" w:ascii="仿宋" w:hAnsi="仿宋" w:eastAsia="仿宋" w:cs="仿宋"/>
          <w:color w:val="auto"/>
          <w:sz w:val="24"/>
        </w:rPr>
        <w:t>视同符合了资格条件，无需再向中小企业分包，无需提供分包意向协议。</w:t>
      </w:r>
    </w:p>
    <w:p>
      <w:pPr>
        <w:widowControl/>
        <w:spacing w:line="360" w:lineRule="auto"/>
        <w:ind w:left="150"/>
        <w:jc w:val="center"/>
        <w:rPr>
          <w:rFonts w:hint="eastAsia" w:ascii="仿宋" w:hAnsi="仿宋" w:eastAsia="仿宋" w:cs="仿宋"/>
          <w:b/>
          <w:color w:val="auto"/>
          <w:kern w:val="0"/>
          <w:sz w:val="32"/>
          <w:szCs w:val="32"/>
        </w:rPr>
      </w:pPr>
    </w:p>
    <w:p>
      <w:pPr>
        <w:widowControl/>
        <w:spacing w:line="360" w:lineRule="auto"/>
        <w:ind w:left="15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四、本项目的特定资格要求</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（根据招标公告本项目的特定资格要求提供相应的材料；未要求的，无需提供）</w:t>
      </w:r>
    </w:p>
    <w:p>
      <w:pPr>
        <w:rPr>
          <w:rFonts w:hint="eastAsia" w:ascii="仿宋" w:hAnsi="仿宋" w:eastAsia="仿宋" w:cs="仿宋"/>
          <w:color w:val="auto"/>
        </w:rPr>
      </w:pPr>
    </w:p>
    <w:p>
      <w:pPr>
        <w:snapToGrid w:val="0"/>
        <w:spacing w:line="360" w:lineRule="auto"/>
        <w:outlineLvl w:val="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br w:type="page"/>
      </w:r>
    </w:p>
    <w:p>
      <w:pPr>
        <w:spacing w:line="360" w:lineRule="auto"/>
        <w:ind w:right="420" w:firstLine="3614" w:firstLineChars="100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商务技术文件部分</w:t>
      </w:r>
    </w:p>
    <w:p>
      <w:pPr>
        <w:spacing w:line="360" w:lineRule="auto"/>
        <w:jc w:val="center"/>
        <w:outlineLvl w:val="0"/>
        <w:rPr>
          <w:rFonts w:hint="eastAsia" w:ascii="仿宋" w:hAnsi="仿宋" w:eastAsia="仿宋" w:cs="仿宋"/>
          <w:b/>
          <w:color w:val="auto"/>
          <w:kern w:val="0"/>
          <w:sz w:val="28"/>
          <w:szCs w:val="28"/>
        </w:rPr>
      </w:pPr>
      <w:r>
        <w:rPr>
          <w:rFonts w:hint="eastAsia" w:ascii="仿宋" w:hAnsi="仿宋" w:eastAsia="仿宋" w:cs="仿宋"/>
          <w:b/>
          <w:color w:val="auto"/>
          <w:kern w:val="0"/>
          <w:sz w:val="28"/>
          <w:szCs w:val="28"/>
        </w:rPr>
        <w:t>目录</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（1）投标函</w:t>
      </w:r>
      <w:r>
        <w:rPr>
          <w:rFonts w:hint="eastAsia" w:ascii="仿宋" w:hAnsi="仿宋" w:eastAsia="仿宋" w:cs="仿宋"/>
          <w:color w:val="auto"/>
        </w:rPr>
        <w:t>…………………………………………………………………………………（页码）</w:t>
      </w:r>
      <w:r>
        <w:rPr>
          <w:rFonts w:hint="eastAsia" w:ascii="仿宋" w:hAnsi="仿宋" w:eastAsia="仿宋" w:cs="仿宋"/>
          <w:color w:val="auto"/>
          <w:sz w:val="24"/>
        </w:rPr>
        <w:t>（2）授权委托书或法定代表人（单位负责人、自然人本人）身份证明</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（3）分包意向协议</w:t>
      </w:r>
      <w:r>
        <w:rPr>
          <w:rFonts w:hint="eastAsia" w:ascii="仿宋" w:hAnsi="仿宋" w:eastAsia="仿宋" w:cs="仿宋"/>
          <w:color w:val="auto"/>
        </w:rPr>
        <w:t>…………………………………………………………………………（页码）</w:t>
      </w:r>
    </w:p>
    <w:p>
      <w:pPr>
        <w:snapToGrid w:val="0"/>
        <w:spacing w:line="360" w:lineRule="auto"/>
        <w:ind w:firstLine="480" w:firstLineChars="200"/>
        <w:rPr>
          <w:rFonts w:hint="eastAsia" w:ascii="仿宋" w:hAnsi="仿宋" w:eastAsia="仿宋" w:cs="仿宋"/>
          <w:color w:val="auto"/>
        </w:rPr>
      </w:pPr>
      <w:r>
        <w:rPr>
          <w:rFonts w:hint="eastAsia" w:ascii="仿宋" w:hAnsi="仿宋" w:eastAsia="仿宋" w:cs="仿宋"/>
          <w:color w:val="auto"/>
          <w:sz w:val="24"/>
        </w:rPr>
        <w:t>（4）符合性审查资料</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（5）评标标准相应的商务技术资料</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……………（页码）</w:t>
      </w:r>
      <w:r>
        <w:rPr>
          <w:rFonts w:hint="eastAsia" w:ascii="仿宋" w:hAnsi="仿宋" w:eastAsia="仿宋" w:cs="仿宋"/>
          <w:color w:val="auto"/>
          <w:sz w:val="24"/>
        </w:rPr>
        <w:t>（6）投标标的清单</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……………（页码）</w:t>
      </w:r>
      <w:r>
        <w:rPr>
          <w:rFonts w:hint="eastAsia" w:ascii="仿宋" w:hAnsi="仿宋" w:eastAsia="仿宋" w:cs="仿宋"/>
          <w:color w:val="auto"/>
          <w:sz w:val="24"/>
        </w:rPr>
        <w:t>（7）商务技术偏离表</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）采购供应商廉洁自律承诺书</w:t>
      </w:r>
      <w:r>
        <w:rPr>
          <w:rFonts w:hint="eastAsia" w:ascii="仿宋" w:hAnsi="仿宋" w:eastAsia="仿宋" w:cs="仿宋"/>
          <w:color w:val="auto"/>
        </w:rPr>
        <w:t>…………………………………………………（页码）</w:t>
      </w: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rPr>
          <w:rFonts w:hint="eastAsia" w:ascii="仿宋" w:hAnsi="仿宋" w:eastAsia="仿宋" w:cs="仿宋"/>
          <w:color w:val="auto"/>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pStyle w:val="6"/>
        <w:rPr>
          <w:rFonts w:hint="eastAsia" w:ascii="仿宋" w:hAnsi="仿宋" w:eastAsia="仿宋" w:cs="仿宋"/>
          <w:color w:val="auto"/>
          <w:lang w:val="en-US"/>
        </w:rPr>
      </w:pPr>
    </w:p>
    <w:p>
      <w:pPr>
        <w:rPr>
          <w:rFonts w:hint="eastAsia" w:ascii="仿宋" w:hAnsi="仿宋" w:eastAsia="仿宋" w:cs="仿宋"/>
          <w:color w:val="auto"/>
        </w:rPr>
      </w:pPr>
    </w:p>
    <w:p>
      <w:pPr>
        <w:snapToGrid w:val="0"/>
        <w:spacing w:line="360" w:lineRule="auto"/>
        <w:ind w:firstLine="3855" w:firstLineChars="1200"/>
        <w:outlineLvl w:val="0"/>
        <w:rPr>
          <w:rFonts w:hint="eastAsia" w:ascii="仿宋" w:hAnsi="仿宋" w:eastAsia="仿宋" w:cs="仿宋"/>
          <w:b/>
          <w:color w:val="auto"/>
          <w:kern w:val="0"/>
          <w:sz w:val="32"/>
          <w:szCs w:val="32"/>
        </w:rPr>
      </w:pPr>
    </w:p>
    <w:p>
      <w:pPr>
        <w:pStyle w:val="3"/>
        <w:rPr>
          <w:rFonts w:hint="eastAsia" w:ascii="仿宋" w:hAnsi="仿宋" w:eastAsia="仿宋" w:cs="仿宋"/>
          <w:b/>
          <w:color w:val="auto"/>
          <w:kern w:val="0"/>
          <w:sz w:val="32"/>
          <w:szCs w:val="32"/>
        </w:rPr>
      </w:pPr>
    </w:p>
    <w:p>
      <w:pPr>
        <w:pStyle w:val="2"/>
        <w:rPr>
          <w:rFonts w:hint="eastAsia" w:ascii="仿宋" w:hAnsi="仿宋" w:eastAsia="仿宋" w:cs="仿宋"/>
          <w:color w:val="auto"/>
        </w:rPr>
      </w:pPr>
    </w:p>
    <w:p>
      <w:pPr>
        <w:pStyle w:val="61"/>
        <w:ind w:firstLine="643"/>
        <w:rPr>
          <w:rFonts w:hint="eastAsia" w:ascii="仿宋" w:hAnsi="仿宋" w:eastAsia="仿宋" w:cs="仿宋"/>
          <w:b/>
          <w:color w:val="auto"/>
          <w:kern w:val="0"/>
          <w:sz w:val="32"/>
          <w:szCs w:val="32"/>
        </w:rPr>
      </w:pPr>
    </w:p>
    <w:p>
      <w:pPr>
        <w:rPr>
          <w:rFonts w:hint="eastAsia" w:ascii="仿宋" w:hAnsi="仿宋" w:eastAsia="仿宋" w:cs="仿宋"/>
          <w:color w:val="auto"/>
        </w:rPr>
      </w:pPr>
    </w:p>
    <w:p>
      <w:pPr>
        <w:snapToGrid w:val="0"/>
        <w:spacing w:line="360" w:lineRule="auto"/>
        <w:ind w:firstLine="3855" w:firstLineChars="1200"/>
        <w:outlineLvl w:val="0"/>
        <w:rPr>
          <w:rFonts w:hint="eastAsia" w:ascii="仿宋" w:hAnsi="仿宋" w:eastAsia="仿宋" w:cs="仿宋"/>
          <w:b/>
          <w:color w:val="auto"/>
          <w:sz w:val="32"/>
          <w:szCs w:val="32"/>
        </w:rPr>
      </w:pPr>
      <w:r>
        <w:rPr>
          <w:rFonts w:hint="eastAsia" w:ascii="仿宋" w:hAnsi="仿宋" w:eastAsia="仿宋" w:cs="仿宋"/>
          <w:b/>
          <w:color w:val="auto"/>
          <w:kern w:val="0"/>
          <w:sz w:val="32"/>
          <w:szCs w:val="32"/>
        </w:rPr>
        <w:t>一、投标</w:t>
      </w:r>
      <w:r>
        <w:rPr>
          <w:rFonts w:hint="eastAsia" w:ascii="仿宋" w:hAnsi="仿宋" w:eastAsia="仿宋" w:cs="仿宋"/>
          <w:b/>
          <w:color w:val="auto"/>
          <w:sz w:val="32"/>
          <w:szCs w:val="32"/>
        </w:rPr>
        <w:t>函</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u w:val="none"/>
          <w:lang w:val="en-US" w:eastAsia="zh-CN"/>
        </w:rPr>
        <w:t>淳安县两山生态资源经营开发有限公司</w:t>
      </w:r>
      <w:r>
        <w:rPr>
          <w:rFonts w:hint="eastAsia" w:ascii="仿宋" w:hAnsi="仿宋" w:eastAsia="仿宋" w:cs="仿宋"/>
          <w:color w:val="auto"/>
          <w:sz w:val="24"/>
          <w:u w:val="none"/>
          <w:lang w:val="en-US" w:eastAsia="zh-CN"/>
        </w:rPr>
        <w:tab/>
      </w:r>
      <w:r>
        <w:rPr>
          <w:rFonts w:hint="eastAsia" w:ascii="仿宋" w:hAnsi="仿宋" w:eastAsia="仿宋" w:cs="仿宋"/>
          <w:color w:val="auto"/>
          <w:sz w:val="24"/>
          <w:u w:val="none"/>
          <w:lang w:val="en-US" w:eastAsia="zh-CN"/>
        </w:rPr>
        <w:t>、东方经纬项目管理有限公司</w:t>
      </w:r>
      <w:r>
        <w:rPr>
          <w:rFonts w:hint="eastAsia" w:ascii="仿宋" w:hAnsi="仿宋" w:eastAsia="仿宋" w:cs="仿宋"/>
          <w:color w:val="auto"/>
          <w:sz w:val="24"/>
          <w:u w:val="none"/>
        </w:rPr>
        <w:t>：</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我方参加你方组织的</w:t>
      </w:r>
      <w:r>
        <w:rPr>
          <w:rFonts w:hint="eastAsia" w:ascii="仿宋" w:hAnsi="仿宋" w:eastAsia="仿宋" w:cs="仿宋"/>
          <w:color w:val="auto"/>
          <w:sz w:val="24"/>
          <w:u w:val="single"/>
          <w:lang w:eastAsia="zh-CN"/>
        </w:rPr>
        <w:t>两山公司一期（首批）项目建设支撑体系设备（5）巡护船（艇）采购项目</w:t>
      </w:r>
      <w:r>
        <w:rPr>
          <w:rFonts w:hint="eastAsia" w:ascii="仿宋" w:hAnsi="仿宋" w:eastAsia="仿宋" w:cs="仿宋"/>
          <w:color w:val="auto"/>
          <w:sz w:val="24"/>
        </w:rPr>
        <w:t>【招标编号：</w:t>
      </w:r>
      <w:r>
        <w:rPr>
          <w:rFonts w:hint="eastAsia" w:ascii="仿宋" w:hAnsi="仿宋" w:eastAsia="仿宋" w:cs="仿宋"/>
          <w:color w:val="auto"/>
          <w:sz w:val="24"/>
          <w:lang w:eastAsia="zh-CN"/>
        </w:rPr>
        <w:t>DFJW2023-CA-0</w:t>
      </w:r>
      <w:r>
        <w:rPr>
          <w:rFonts w:hint="eastAsia" w:ascii="仿宋" w:hAnsi="仿宋" w:eastAsia="仿宋" w:cs="仿宋"/>
          <w:color w:val="auto"/>
          <w:sz w:val="24"/>
          <w:lang w:val="en-US" w:eastAsia="zh-CN"/>
        </w:rPr>
        <w:t>20</w:t>
      </w:r>
      <w:r>
        <w:rPr>
          <w:rFonts w:hint="eastAsia" w:ascii="仿宋" w:hAnsi="仿宋" w:eastAsia="仿宋" w:cs="仿宋"/>
          <w:color w:val="auto"/>
          <w:sz w:val="24"/>
          <w:lang w:eastAsia="zh-CN"/>
        </w:rPr>
        <w:t>号</w:t>
      </w:r>
      <w:r>
        <w:rPr>
          <w:rFonts w:hint="eastAsia" w:ascii="仿宋" w:hAnsi="仿宋" w:eastAsia="仿宋" w:cs="仿宋"/>
          <w:color w:val="auto"/>
          <w:sz w:val="24"/>
        </w:rPr>
        <w:t>】招标的有关活动，并对此项目进行投标。为此：</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1、我方承诺投标有效期从提交投标文件的截止之日起</w:t>
      </w:r>
      <w:r>
        <w:rPr>
          <w:rFonts w:hint="eastAsia" w:ascii="仿宋" w:hAnsi="仿宋" w:eastAsia="仿宋" w:cs="仿宋"/>
          <w:color w:val="auto"/>
          <w:sz w:val="24"/>
          <w:u w:val="single"/>
        </w:rPr>
        <w:t xml:space="preserve">     </w:t>
      </w:r>
      <w:r>
        <w:rPr>
          <w:rFonts w:hint="eastAsia" w:ascii="仿宋" w:hAnsi="仿宋" w:eastAsia="仿宋" w:cs="仿宋"/>
          <w:color w:val="auto"/>
          <w:sz w:val="24"/>
        </w:rPr>
        <w:t>天（不少于90天）</w:t>
      </w:r>
      <w:r>
        <w:rPr>
          <w:rFonts w:hint="eastAsia" w:ascii="仿宋" w:hAnsi="仿宋" w:eastAsia="仿宋" w:cs="仿宋"/>
          <w:color w:val="auto"/>
        </w:rPr>
        <w:t>，</w:t>
      </w:r>
      <w:r>
        <w:rPr>
          <w:rFonts w:hint="eastAsia" w:ascii="仿宋" w:hAnsi="仿宋" w:eastAsia="仿宋" w:cs="仿宋"/>
          <w:color w:val="auto"/>
          <w:sz w:val="24"/>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2.1资格文件：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2.1.1承诺函；</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2.1.2</w:t>
      </w:r>
      <w:r>
        <w:rPr>
          <w:rFonts w:hint="eastAsia" w:ascii="仿宋" w:hAnsi="仿宋" w:eastAsia="仿宋" w:cs="仿宋"/>
          <w:snapToGrid w:val="0"/>
          <w:color w:val="auto"/>
          <w:kern w:val="28"/>
          <w:sz w:val="24"/>
          <w:szCs w:val="20"/>
        </w:rPr>
        <w:t>联合协议（如果有)；</w:t>
      </w:r>
    </w:p>
    <w:p>
      <w:pPr>
        <w:snapToGrid w:val="0"/>
        <w:spacing w:line="360" w:lineRule="auto"/>
        <w:ind w:left="420" w:leftChars="200"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2.1.3需满足的资格要求</w:t>
      </w:r>
      <w:r>
        <w:rPr>
          <w:rFonts w:hint="eastAsia" w:ascii="仿宋" w:hAnsi="仿宋" w:eastAsia="仿宋" w:cs="仿宋"/>
          <w:snapToGrid w:val="0"/>
          <w:color w:val="auto"/>
          <w:kern w:val="28"/>
          <w:sz w:val="24"/>
          <w:szCs w:val="20"/>
        </w:rPr>
        <w:t>（如果有）</w:t>
      </w:r>
      <w:r>
        <w:rPr>
          <w:rFonts w:hint="eastAsia" w:ascii="仿宋" w:hAnsi="仿宋" w:eastAsia="仿宋" w:cs="仿宋"/>
          <w:color w:val="auto"/>
          <w:sz w:val="24"/>
          <w:lang w:val="en-US" w:eastAsia="zh-CN"/>
        </w:rPr>
        <w:t>。</w:t>
      </w:r>
    </w:p>
    <w:p>
      <w:pPr>
        <w:snapToGrid w:val="0"/>
        <w:spacing w:line="360" w:lineRule="auto"/>
        <w:ind w:left="210" w:leftChars="100"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 xml:space="preserve"> </w:t>
      </w:r>
      <w:r>
        <w:rPr>
          <w:rFonts w:hint="eastAsia" w:ascii="仿宋" w:hAnsi="仿宋" w:eastAsia="仿宋" w:cs="仿宋"/>
          <w:color w:val="auto"/>
          <w:sz w:val="24"/>
        </w:rPr>
        <w:t>商务技术</w:t>
      </w:r>
      <w:r>
        <w:rPr>
          <w:rFonts w:hint="eastAsia" w:ascii="仿宋" w:hAnsi="仿宋" w:eastAsia="仿宋" w:cs="仿宋"/>
          <w:color w:val="auto"/>
          <w:sz w:val="24"/>
          <w:lang w:val="zh-CN"/>
        </w:rPr>
        <w:t>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2.2.1投标函；</w:t>
      </w:r>
      <w:r>
        <w:rPr>
          <w:rFonts w:hint="eastAsia" w:ascii="仿宋" w:hAnsi="仿宋" w:eastAsia="仿宋" w:cs="仿宋"/>
          <w:color w:val="auto"/>
          <w:sz w:val="24"/>
          <w:lang w:val="zh-CN"/>
        </w:rPr>
        <w:t xml:space="preserve"> </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2.2.3分包意向协议</w:t>
      </w:r>
      <w:r>
        <w:rPr>
          <w:rFonts w:hint="eastAsia" w:ascii="仿宋" w:hAnsi="仿宋" w:eastAsia="仿宋" w:cs="仿宋"/>
          <w:snapToGrid w:val="0"/>
          <w:color w:val="auto"/>
          <w:kern w:val="28"/>
          <w:sz w:val="24"/>
          <w:szCs w:val="20"/>
        </w:rPr>
        <w:t>（如果有）</w:t>
      </w:r>
      <w:r>
        <w:rPr>
          <w:rFonts w:hint="eastAsia" w:ascii="仿宋" w:hAnsi="仿宋" w:eastAsia="仿宋" w:cs="仿宋"/>
          <w:color w:val="auto"/>
          <w:sz w:val="24"/>
        </w:rPr>
        <w:t>；</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2.2.4符合性审查资料；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2.2.5评标标准相应的商务技术资料；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2.2.6投标标的清单；</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2.2.7商务技术偏离表；</w:t>
      </w:r>
    </w:p>
    <w:p>
      <w:pPr>
        <w:snapToGrid w:val="0"/>
        <w:spacing w:line="360" w:lineRule="auto"/>
        <w:ind w:left="420" w:leftChars="200"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采购供应商廉洁自律承诺书；</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3报价文件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2.3.1开标一览表（报价表）；</w:t>
      </w:r>
    </w:p>
    <w:p>
      <w:pPr>
        <w:snapToGrid w:val="0"/>
        <w:spacing w:line="360" w:lineRule="auto"/>
        <w:ind w:left="420" w:leftChars="200"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2.3.2</w:t>
      </w:r>
      <w:r>
        <w:rPr>
          <w:rFonts w:hint="eastAsia" w:ascii="仿宋" w:hAnsi="仿宋" w:eastAsia="仿宋" w:cs="仿宋"/>
          <w:color w:val="auto"/>
          <w:sz w:val="24"/>
        </w:rPr>
        <w:t>中小企业声明函</w:t>
      </w:r>
      <w:r>
        <w:rPr>
          <w:rFonts w:hint="eastAsia" w:ascii="仿宋" w:hAnsi="仿宋" w:eastAsia="仿宋" w:cs="仿宋"/>
          <w:color w:val="auto"/>
          <w:sz w:val="24"/>
          <w:lang w:eastAsia="zh-CN"/>
        </w:rPr>
        <w:t>。</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4、如我方中标，我方承诺：</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5、其他补充说明:</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360" w:lineRule="auto"/>
        <w:ind w:firstLine="3600" w:firstLineChars="1500"/>
        <w:rPr>
          <w:rFonts w:hint="eastAsia" w:ascii="仿宋" w:hAnsi="仿宋" w:eastAsia="仿宋" w:cs="仿宋"/>
          <w:color w:val="auto"/>
          <w:sz w:val="24"/>
        </w:rPr>
      </w:pPr>
      <w:r>
        <w:rPr>
          <w:rFonts w:hint="eastAsia" w:ascii="仿宋" w:hAnsi="仿宋" w:eastAsia="仿宋" w:cs="仿宋"/>
          <w:color w:val="auto"/>
          <w:sz w:val="24"/>
        </w:rPr>
        <w:t xml:space="preserve">投标人名称（电子签名）：                          </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u w:val="single"/>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snapToGrid w:val="0"/>
        <w:spacing w:line="360" w:lineRule="auto"/>
        <w:jc w:val="center"/>
        <w:rPr>
          <w:rFonts w:hint="eastAsia" w:ascii="仿宋" w:hAnsi="仿宋" w:eastAsia="仿宋" w:cs="仿宋"/>
          <w:b/>
          <w:color w:val="auto"/>
          <w:kern w:val="0"/>
          <w:sz w:val="32"/>
          <w:szCs w:val="32"/>
        </w:rPr>
      </w:pPr>
    </w:p>
    <w:p>
      <w:pPr>
        <w:snapToGrid w:val="0"/>
        <w:spacing w:line="360" w:lineRule="auto"/>
        <w:rPr>
          <w:rFonts w:hint="eastAsia" w:ascii="仿宋" w:hAnsi="仿宋" w:eastAsia="仿宋" w:cs="仿宋"/>
          <w:color w:val="auto"/>
          <w:sz w:val="24"/>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widowControl/>
        <w:adjustRightInd/>
        <w:jc w:val="left"/>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br w:type="page"/>
      </w:r>
    </w:p>
    <w:p>
      <w:pPr>
        <w:jc w:val="center"/>
        <w:rPr>
          <w:rFonts w:hint="eastAsia" w:ascii="仿宋" w:hAnsi="仿宋" w:eastAsia="仿宋" w:cs="仿宋"/>
          <w:b/>
          <w:color w:val="auto"/>
          <w:kern w:val="0"/>
          <w:sz w:val="32"/>
          <w:szCs w:val="32"/>
          <w:lang w:val="zh-CN"/>
        </w:rPr>
      </w:pPr>
      <w:r>
        <w:rPr>
          <w:rFonts w:hint="eastAsia" w:ascii="仿宋" w:hAnsi="仿宋" w:eastAsia="仿宋" w:cs="仿宋"/>
          <w:b/>
          <w:color w:val="auto"/>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p>
    <w:p>
      <w:pPr>
        <w:snapToGrid w:val="0"/>
        <w:spacing w:line="360" w:lineRule="auto"/>
        <w:ind w:firstLine="2872" w:firstLineChars="894"/>
        <w:rPr>
          <w:rFonts w:hint="eastAsia" w:ascii="仿宋" w:hAnsi="仿宋" w:eastAsia="仿宋" w:cs="仿宋"/>
          <w:color w:val="auto"/>
        </w:rPr>
      </w:pPr>
      <w:r>
        <w:rPr>
          <w:rFonts w:hint="eastAsia" w:ascii="仿宋" w:hAnsi="仿宋" w:eastAsia="仿宋" w:cs="仿宋"/>
          <w:b/>
          <w:color w:val="auto"/>
          <w:kern w:val="0"/>
          <w:sz w:val="32"/>
          <w:szCs w:val="32"/>
          <w:lang w:val="zh-CN"/>
        </w:rPr>
        <w:t>授权委托书（适用于非联合体投标）</w:t>
      </w:r>
      <w:r>
        <w:rPr>
          <w:rFonts w:hint="eastAsia" w:ascii="仿宋" w:hAnsi="仿宋" w:eastAsia="仿宋" w:cs="仿宋"/>
          <w:color w:val="auto"/>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u w:val="none"/>
          <w:lang w:val="en-US" w:eastAsia="zh-CN"/>
        </w:rPr>
        <w:t>淳安县两山生态资源经营开发有限公司</w:t>
      </w:r>
      <w:r>
        <w:rPr>
          <w:rFonts w:hint="eastAsia" w:ascii="仿宋" w:hAnsi="仿宋" w:eastAsia="仿宋" w:cs="仿宋"/>
          <w:color w:val="auto"/>
          <w:sz w:val="24"/>
          <w:u w:val="none"/>
          <w:lang w:val="en-US" w:eastAsia="zh-CN"/>
        </w:rPr>
        <w:tab/>
      </w:r>
      <w:r>
        <w:rPr>
          <w:rFonts w:hint="eastAsia" w:ascii="仿宋" w:hAnsi="仿宋" w:eastAsia="仿宋" w:cs="仿宋"/>
          <w:color w:val="auto"/>
          <w:sz w:val="24"/>
          <w:u w:val="none"/>
          <w:lang w:val="en-US" w:eastAsia="zh-CN"/>
        </w:rPr>
        <w:t>、东方经纬项目管理有限公司</w:t>
      </w:r>
      <w:r>
        <w:rPr>
          <w:rFonts w:hint="eastAsia" w:ascii="仿宋" w:hAnsi="仿宋" w:eastAsia="仿宋" w:cs="仿宋"/>
          <w:color w:val="auto"/>
          <w:sz w:val="24"/>
        </w:rPr>
        <w:t>：</w:t>
      </w:r>
    </w:p>
    <w:p>
      <w:pPr>
        <w:snapToGrid w:val="0"/>
        <w:spacing w:line="360" w:lineRule="auto"/>
        <w:ind w:firstLine="576"/>
        <w:rPr>
          <w:rFonts w:hint="eastAsia"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kern w:val="0"/>
          <w:sz w:val="24"/>
          <w:u w:val="single"/>
          <w:lang w:val="zh-CN" w:eastAsia="zh-CN"/>
        </w:rPr>
        <w:t>两山公司一期（首批）项目建设支撑体系设备（5）巡护船（艇）采购项目</w:t>
      </w:r>
      <w:r>
        <w:rPr>
          <w:rFonts w:hint="eastAsia" w:ascii="仿宋" w:hAnsi="仿宋" w:eastAsia="仿宋" w:cs="仿宋"/>
          <w:color w:val="auto"/>
          <w:sz w:val="24"/>
        </w:rPr>
        <w:t>【招标编号：</w:t>
      </w:r>
      <w:r>
        <w:rPr>
          <w:rFonts w:hint="eastAsia" w:ascii="仿宋" w:hAnsi="仿宋" w:eastAsia="仿宋" w:cs="仿宋"/>
          <w:color w:val="auto"/>
          <w:sz w:val="24"/>
          <w:lang w:eastAsia="zh-CN"/>
        </w:rPr>
        <w:t>DFJW2023-CA-0</w:t>
      </w:r>
      <w:r>
        <w:rPr>
          <w:rFonts w:hint="eastAsia" w:ascii="仿宋" w:hAnsi="仿宋" w:eastAsia="仿宋" w:cs="仿宋"/>
          <w:color w:val="auto"/>
          <w:sz w:val="24"/>
          <w:lang w:val="en-US" w:eastAsia="zh-CN"/>
        </w:rPr>
        <w:t>20</w:t>
      </w:r>
      <w:r>
        <w:rPr>
          <w:rFonts w:hint="eastAsia" w:ascii="仿宋" w:hAnsi="仿宋" w:eastAsia="仿宋" w:cs="仿宋"/>
          <w:color w:val="auto"/>
          <w:sz w:val="24"/>
          <w:lang w:eastAsia="zh-CN"/>
        </w:rPr>
        <w:t>号</w:t>
      </w:r>
      <w:r>
        <w:rPr>
          <w:rFonts w:hint="eastAsia" w:ascii="仿宋" w:hAnsi="仿宋" w:eastAsia="仿宋" w:cs="仿宋"/>
          <w:color w:val="auto"/>
          <w:sz w:val="24"/>
        </w:rPr>
        <w:t>】</w:t>
      </w:r>
      <w:r>
        <w:rPr>
          <w:rFonts w:hint="eastAsia" w:ascii="仿宋" w:hAnsi="仿宋" w:eastAsia="仿宋" w:cs="仿宋"/>
          <w:color w:val="auto"/>
          <w:kern w:val="0"/>
          <w:sz w:val="24"/>
          <w:lang w:val="zh-CN"/>
        </w:rPr>
        <w:t>采购投标的一切事项，其法律后果由我方承担。</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投标人名称(电子签名)：</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签发日期：  年  月   日</w:t>
      </w:r>
    </w:p>
    <w:p>
      <w:pPr>
        <w:snapToGrid w:val="0"/>
        <w:spacing w:line="360" w:lineRule="auto"/>
        <w:rPr>
          <w:rFonts w:hint="eastAsia" w:ascii="仿宋" w:hAnsi="仿宋" w:eastAsia="仿宋" w:cs="仿宋"/>
          <w:color w:val="auto"/>
          <w:sz w:val="24"/>
        </w:rPr>
      </w:pPr>
    </w:p>
    <w:p>
      <w:pPr>
        <w:snapToGrid w:val="0"/>
        <w:spacing w:line="360" w:lineRule="auto"/>
        <w:rPr>
          <w:rFonts w:hint="eastAsia" w:ascii="仿宋" w:hAnsi="仿宋" w:eastAsia="仿宋" w:cs="仿宋"/>
          <w:color w:val="auto"/>
          <w:sz w:val="24"/>
        </w:rPr>
      </w:pPr>
    </w:p>
    <w:p>
      <w:pPr>
        <w:snapToGrid w:val="0"/>
        <w:spacing w:line="360" w:lineRule="auto"/>
        <w:rPr>
          <w:rFonts w:hint="eastAsia" w:ascii="仿宋" w:hAnsi="仿宋" w:eastAsia="仿宋" w:cs="仿宋"/>
          <w:color w:val="auto"/>
          <w:sz w:val="24"/>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zh-CN"/>
        </w:rPr>
        <w:t xml:space="preserve">      </w:t>
      </w:r>
      <w:r>
        <w:rPr>
          <w:rFonts w:hint="eastAsia" w:ascii="仿宋" w:hAnsi="仿宋" w:eastAsia="仿宋" w:cs="仿宋"/>
          <w:b/>
          <w:color w:val="auto"/>
          <w:kern w:val="0"/>
          <w:sz w:val="32"/>
          <w:szCs w:val="32"/>
        </w:rPr>
        <w:t xml:space="preserve"> </w:t>
      </w:r>
      <w:r>
        <w:rPr>
          <w:rFonts w:hint="eastAsia" w:ascii="仿宋" w:hAnsi="仿宋" w:eastAsia="仿宋" w:cs="仿宋"/>
          <w:b/>
          <w:color w:val="auto"/>
          <w:kern w:val="0"/>
          <w:sz w:val="32"/>
          <w:szCs w:val="32"/>
          <w:lang w:val="zh-CN"/>
        </w:rPr>
        <w:t>授权委托书（适用于联合体投标）</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lang w:val="en-US" w:eastAsia="zh-CN"/>
        </w:rPr>
        <w:t>淳安县两山生态资源经营开发有限公司</w:t>
      </w:r>
      <w:r>
        <w:rPr>
          <w:rFonts w:hint="eastAsia" w:ascii="仿宋" w:hAnsi="仿宋" w:eastAsia="仿宋" w:cs="仿宋"/>
          <w:color w:val="auto"/>
          <w:sz w:val="24"/>
          <w:lang w:val="en-US" w:eastAsia="zh-CN"/>
        </w:rPr>
        <w:tab/>
      </w:r>
      <w:r>
        <w:rPr>
          <w:rFonts w:hint="eastAsia" w:ascii="仿宋" w:hAnsi="仿宋" w:eastAsia="仿宋" w:cs="仿宋"/>
          <w:color w:val="auto"/>
          <w:sz w:val="24"/>
          <w:lang w:val="en-US" w:eastAsia="zh-CN"/>
        </w:rPr>
        <w:t>、东方经纬项目管理有限公司</w:t>
      </w:r>
      <w:r>
        <w:rPr>
          <w:rFonts w:hint="eastAsia" w:ascii="仿宋" w:hAnsi="仿宋" w:eastAsia="仿宋" w:cs="仿宋"/>
          <w:color w:val="auto"/>
          <w:sz w:val="24"/>
        </w:rPr>
        <w:t>：</w:t>
      </w:r>
    </w:p>
    <w:p>
      <w:pPr>
        <w:snapToGrid w:val="0"/>
        <w:spacing w:line="360" w:lineRule="auto"/>
        <w:ind w:firstLine="576"/>
        <w:rPr>
          <w:rFonts w:hint="eastAsia"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kern w:val="0"/>
          <w:sz w:val="24"/>
          <w:u w:val="single"/>
          <w:lang w:val="zh-CN" w:eastAsia="zh-CN"/>
        </w:rPr>
        <w:t>两山公司一期（首批）项目建设支撑体系设备（5）巡护船（艇）采购项目</w:t>
      </w:r>
      <w:r>
        <w:rPr>
          <w:rFonts w:hint="eastAsia" w:ascii="仿宋" w:hAnsi="仿宋" w:eastAsia="仿宋" w:cs="仿宋"/>
          <w:color w:val="auto"/>
          <w:sz w:val="24"/>
        </w:rPr>
        <w:t>【招标编号：</w:t>
      </w:r>
      <w:r>
        <w:rPr>
          <w:rFonts w:hint="eastAsia" w:ascii="仿宋" w:hAnsi="仿宋" w:eastAsia="仿宋" w:cs="仿宋"/>
          <w:color w:val="auto"/>
          <w:sz w:val="24"/>
          <w:lang w:eastAsia="zh-CN"/>
        </w:rPr>
        <w:t>DFJW2023-CA-0</w:t>
      </w:r>
      <w:r>
        <w:rPr>
          <w:rFonts w:hint="eastAsia" w:ascii="仿宋" w:hAnsi="仿宋" w:eastAsia="仿宋" w:cs="仿宋"/>
          <w:color w:val="auto"/>
          <w:sz w:val="24"/>
          <w:lang w:val="en-US" w:eastAsia="zh-CN"/>
        </w:rPr>
        <w:t>20</w:t>
      </w:r>
      <w:r>
        <w:rPr>
          <w:rFonts w:hint="eastAsia" w:ascii="仿宋" w:hAnsi="仿宋" w:eastAsia="仿宋" w:cs="仿宋"/>
          <w:color w:val="auto"/>
          <w:sz w:val="24"/>
          <w:lang w:eastAsia="zh-CN"/>
        </w:rPr>
        <w:t>号</w:t>
      </w:r>
      <w:r>
        <w:rPr>
          <w:rFonts w:hint="eastAsia" w:ascii="仿宋" w:hAnsi="仿宋" w:eastAsia="仿宋" w:cs="仿宋"/>
          <w:color w:val="auto"/>
          <w:sz w:val="24"/>
        </w:rPr>
        <w:t>】</w:t>
      </w:r>
      <w:r>
        <w:rPr>
          <w:rFonts w:hint="eastAsia" w:ascii="仿宋" w:hAnsi="仿宋" w:eastAsia="仿宋" w:cs="仿宋"/>
          <w:color w:val="auto"/>
          <w:kern w:val="0"/>
          <w:sz w:val="24"/>
          <w:lang w:val="zh-CN"/>
        </w:rPr>
        <w:t>采购投标的一切事项，其法律后果由我方承担。</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rPr>
          <w:rFonts w:hint="eastAsia" w:ascii="仿宋" w:hAnsi="仿宋" w:eastAsia="仿宋" w:cs="仿宋"/>
          <w:color w:val="auto"/>
        </w:rPr>
      </w:pP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autoSpaceDE w:val="0"/>
        <w:autoSpaceDN w:val="0"/>
        <w:spacing w:line="360" w:lineRule="auto"/>
        <w:jc w:val="center"/>
        <w:rPr>
          <w:rFonts w:hint="eastAsia" w:ascii="仿宋" w:hAnsi="仿宋" w:eastAsia="仿宋" w:cs="仿宋"/>
          <w:b/>
          <w:color w:val="auto"/>
          <w:sz w:val="24"/>
        </w:rPr>
      </w:pPr>
      <w:r>
        <w:rPr>
          <w:rFonts w:hint="eastAsia" w:ascii="仿宋" w:hAnsi="仿宋" w:eastAsia="仿宋" w:cs="仿宋"/>
          <w:b/>
          <w:color w:val="auto"/>
          <w:kern w:val="0"/>
          <w:sz w:val="32"/>
          <w:szCs w:val="32"/>
          <w:lang w:val="zh-CN"/>
        </w:rPr>
        <w:t>法定代表人、单位负责人或自然人本人</w:t>
      </w:r>
      <w:r>
        <w:rPr>
          <w:rFonts w:hint="eastAsia" w:ascii="仿宋" w:hAnsi="仿宋" w:eastAsia="仿宋" w:cs="仿宋"/>
          <w:b/>
          <w:color w:val="auto"/>
          <w:sz w:val="30"/>
          <w:szCs w:val="30"/>
        </w:rPr>
        <w:t>的身份证明（适用于法定代表人、单位负责人或者自然人本人代表投标人参加投标）</w:t>
      </w:r>
    </w:p>
    <w:p>
      <w:pPr>
        <w:pStyle w:val="150"/>
        <w:spacing w:line="360" w:lineRule="auto"/>
        <w:rPr>
          <w:rFonts w:hint="eastAsia" w:ascii="仿宋" w:hAnsi="仿宋" w:eastAsia="仿宋" w:cs="仿宋"/>
          <w:bCs/>
          <w:color w:val="auto"/>
          <w:sz w:val="24"/>
        </w:rPr>
      </w:pPr>
      <w:r>
        <w:rPr>
          <w:rFonts w:hint="eastAsia" w:ascii="仿宋" w:hAnsi="仿宋" w:eastAsia="仿宋" w:cs="仿宋"/>
          <w:bCs/>
          <w:color w:val="auto"/>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adjustRightIn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正面：                                 反面：</w:t>
            </w:r>
          </w:p>
          <w:p>
            <w:pPr>
              <w:pStyle w:val="150"/>
              <w:adjustRightInd w:val="0"/>
              <w:spacing w:line="360" w:lineRule="auto"/>
              <w:rPr>
                <w:rFonts w:hint="eastAsia" w:ascii="仿宋" w:hAnsi="仿宋" w:eastAsia="仿宋" w:cs="仿宋"/>
                <w:bCs/>
                <w:color w:val="auto"/>
                <w:sz w:val="24"/>
              </w:rPr>
            </w:pPr>
          </w:p>
        </w:tc>
      </w:tr>
    </w:tbl>
    <w:p>
      <w:pPr>
        <w:snapToGrid w:val="0"/>
        <w:spacing w:line="360" w:lineRule="auto"/>
        <w:ind w:firstLine="576"/>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w:t>
      </w:r>
    </w:p>
    <w:p>
      <w:pPr>
        <w:snapToGrid w:val="0"/>
        <w:spacing w:line="360" w:lineRule="auto"/>
        <w:ind w:firstLine="576"/>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投标人名称(电子签名)：                              </w:t>
      </w:r>
    </w:p>
    <w:p>
      <w:pPr>
        <w:spacing w:line="360" w:lineRule="auto"/>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snapToGrid w:val="0"/>
        <w:spacing w:line="360" w:lineRule="auto"/>
        <w:ind w:right="480"/>
        <w:rPr>
          <w:rFonts w:hint="eastAsia" w:ascii="仿宋" w:hAnsi="仿宋" w:eastAsia="仿宋" w:cs="仿宋"/>
          <w:b/>
          <w:color w:val="auto"/>
          <w:kern w:val="0"/>
          <w:sz w:val="32"/>
          <w:szCs w:val="32"/>
        </w:rPr>
        <w:sectPr>
          <w:pgSz w:w="11906" w:h="16838"/>
          <w:pgMar w:top="1276" w:right="1418" w:bottom="1247" w:left="1418" w:header="851" w:footer="992" w:gutter="0"/>
          <w:cols w:space="720" w:num="1"/>
          <w:titlePg/>
          <w:docGrid w:linePitch="312" w:charSpace="0"/>
        </w:sectPr>
      </w:pPr>
    </w:p>
    <w:p>
      <w:pPr>
        <w:snapToGrid w:val="0"/>
        <w:spacing w:line="360" w:lineRule="auto"/>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三、分包意向协议（如果有）</w:t>
      </w:r>
    </w:p>
    <w:p>
      <w:pPr>
        <w:widowControl/>
        <w:spacing w:line="360" w:lineRule="auto"/>
        <w:ind w:firstLine="120" w:firstLineChars="50"/>
        <w:jc w:val="left"/>
        <w:rPr>
          <w:rFonts w:hint="eastAsia" w:ascii="仿宋" w:hAnsi="仿宋" w:eastAsia="仿宋" w:cs="仿宋"/>
          <w:color w:val="auto"/>
          <w:sz w:val="24"/>
        </w:rPr>
      </w:pPr>
      <w:bookmarkStart w:id="397" w:name="_Hlk101169080"/>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中标后以分包方式履行合同的，提供分包意向协议(附件</w:t>
      </w:r>
      <w:r>
        <w:rPr>
          <w:rFonts w:hint="eastAsia" w:ascii="仿宋" w:hAnsi="仿宋" w:eastAsia="仿宋" w:cs="仿宋"/>
          <w:b/>
          <w:color w:val="auto"/>
          <w:sz w:val="24"/>
          <w:lang w:val="en-US" w:eastAsia="zh-CN"/>
        </w:rPr>
        <w:t>7</w:t>
      </w:r>
      <w:r>
        <w:rPr>
          <w:rFonts w:hint="eastAsia" w:ascii="仿宋" w:hAnsi="仿宋" w:eastAsia="仿宋" w:cs="仿宋"/>
          <w:b/>
          <w:color w:val="auto"/>
          <w:sz w:val="24"/>
        </w:rPr>
        <w:t>)；采购人不同意分包或者投标人中标后不以分包方式履行合同的，则不需要提供。</w:t>
      </w:r>
      <w:r>
        <w:rPr>
          <w:rFonts w:hint="eastAsia" w:ascii="仿宋" w:hAnsi="仿宋" w:eastAsia="仿宋" w:cs="仿宋"/>
          <w:color w:val="auto"/>
          <w:sz w:val="24"/>
        </w:rPr>
        <w:t>]</w:t>
      </w:r>
    </w:p>
    <w:bookmarkEnd w:id="397"/>
    <w:p>
      <w:pPr>
        <w:pStyle w:val="6"/>
        <w:ind w:left="0" w:firstLine="0"/>
        <w:rPr>
          <w:rFonts w:hint="eastAsia" w:ascii="仿宋" w:hAnsi="仿宋" w:eastAsia="仿宋" w:cs="仿宋"/>
          <w:color w:val="auto"/>
          <w:lang w:val="en-US"/>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四、符合性审查资料</w:t>
      </w:r>
    </w:p>
    <w:p>
      <w:pPr>
        <w:jc w:val="center"/>
        <w:rPr>
          <w:rFonts w:hint="eastAsia" w:ascii="仿宋" w:hAnsi="仿宋" w:eastAsia="仿宋" w:cs="仿宋"/>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4991"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实质性要求</w:t>
            </w:r>
          </w:p>
        </w:tc>
        <w:tc>
          <w:tcPr>
            <w:tcW w:w="2551"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投标文件中的</w:t>
            </w:r>
          </w:p>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1</w:t>
            </w:r>
          </w:p>
        </w:tc>
        <w:tc>
          <w:tcPr>
            <w:tcW w:w="4991" w:type="dxa"/>
            <w:vAlign w:val="center"/>
          </w:tcPr>
          <w:p>
            <w:pPr>
              <w:spacing w:line="360" w:lineRule="auto"/>
              <w:jc w:val="both"/>
              <w:rPr>
                <w:rFonts w:hint="eastAsia" w:ascii="仿宋" w:hAnsi="仿宋" w:eastAsia="仿宋" w:cs="仿宋"/>
                <w:color w:val="auto"/>
                <w:sz w:val="24"/>
              </w:rPr>
            </w:pPr>
            <w:r>
              <w:rPr>
                <w:rFonts w:hint="eastAsia" w:ascii="仿宋" w:hAnsi="仿宋" w:eastAsia="仿宋" w:cs="仿宋"/>
                <w:color w:val="auto"/>
                <w:sz w:val="24"/>
              </w:rPr>
              <w:t>投标文件按照招标文件要求签署、盖章。</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sz w:val="24"/>
              </w:rPr>
              <w:t>需要使用电子签名或者签字盖章的投标文件的组成部分</w:t>
            </w:r>
          </w:p>
        </w:tc>
        <w:tc>
          <w:tcPr>
            <w:tcW w:w="1418" w:type="dxa"/>
            <w:vAlign w:val="center"/>
          </w:tcPr>
          <w:p>
            <w:pPr>
              <w:jc w:val="center"/>
              <w:rPr>
                <w:rFonts w:hint="eastAsia" w:ascii="仿宋" w:hAnsi="仿宋" w:eastAsia="仿宋" w:cs="仿宋"/>
                <w:color w:val="auto"/>
                <w:sz w:val="24"/>
              </w:rPr>
            </w:pPr>
          </w:p>
          <w:p>
            <w:pPr>
              <w:jc w:val="center"/>
              <w:rPr>
                <w:rFonts w:hint="eastAsia" w:ascii="仿宋" w:hAnsi="仿宋" w:eastAsia="仿宋" w:cs="仿宋"/>
                <w:color w:val="auto"/>
                <w:sz w:val="24"/>
              </w:rPr>
            </w:pPr>
            <w:r>
              <w:rPr>
                <w:rFonts w:hint="eastAsia" w:ascii="仿宋" w:hAnsi="仿宋" w:eastAsia="仿宋" w:cs="仿宋"/>
                <w:color w:val="auto"/>
                <w:sz w:val="24"/>
              </w:rPr>
              <w:t>见投标文件</w:t>
            </w:r>
          </w:p>
          <w:p>
            <w:pPr>
              <w:jc w:val="center"/>
              <w:rPr>
                <w:rFonts w:hint="eastAsia" w:ascii="仿宋" w:hAnsi="仿宋" w:eastAsia="仿宋" w:cs="仿宋"/>
                <w:color w:val="auto"/>
              </w:rPr>
            </w:pPr>
            <w:r>
              <w:rPr>
                <w:rFonts w:hint="eastAsia" w:ascii="仿宋" w:hAnsi="仿宋" w:eastAsia="仿宋" w:cs="仿宋"/>
                <w:color w:val="auto"/>
                <w:sz w:val="24"/>
              </w:rPr>
              <w:t>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2</w:t>
            </w:r>
          </w:p>
        </w:tc>
        <w:tc>
          <w:tcPr>
            <w:tcW w:w="4991" w:type="dxa"/>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投标文件中承诺的投标有效期不少于招标文件中载明的投标有效期。</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sz w:val="24"/>
              </w:rPr>
              <w:t>投标函</w:t>
            </w:r>
          </w:p>
        </w:tc>
        <w:tc>
          <w:tcPr>
            <w:tcW w:w="1418" w:type="dxa"/>
            <w:vAlign w:val="center"/>
          </w:tcPr>
          <w:p>
            <w:pPr>
              <w:jc w:val="center"/>
              <w:rPr>
                <w:rFonts w:hint="eastAsia" w:ascii="仿宋" w:hAnsi="仿宋" w:eastAsia="仿宋" w:cs="仿宋"/>
                <w:color w:val="auto"/>
              </w:rPr>
            </w:pPr>
            <w:r>
              <w:rPr>
                <w:rFonts w:hint="eastAsia" w:ascii="仿宋" w:hAnsi="仿宋" w:eastAsia="仿宋" w:cs="仿宋"/>
                <w:color w:val="auto"/>
                <w:sz w:val="24"/>
              </w:rPr>
              <w:t>见投标文件第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3</w:t>
            </w:r>
          </w:p>
        </w:tc>
        <w:tc>
          <w:tcPr>
            <w:tcW w:w="4991" w:type="dxa"/>
            <w:vAlign w:val="center"/>
          </w:tcPr>
          <w:p>
            <w:pPr>
              <w:spacing w:line="360" w:lineRule="auto"/>
              <w:jc w:val="both"/>
              <w:rPr>
                <w:rFonts w:hint="eastAsia" w:ascii="仿宋" w:hAnsi="仿宋" w:eastAsia="仿宋" w:cs="仿宋"/>
                <w:color w:val="auto"/>
                <w:sz w:val="24"/>
              </w:rPr>
            </w:pPr>
            <w:r>
              <w:rPr>
                <w:rFonts w:hint="eastAsia" w:ascii="仿宋" w:hAnsi="仿宋" w:eastAsia="仿宋" w:cs="仿宋"/>
                <w:color w:val="auto"/>
                <w:sz w:val="24"/>
              </w:rPr>
              <w:t>投标文件满足招标文件的其它实质性要求。</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kern w:val="0"/>
                <w:sz w:val="24"/>
              </w:rPr>
              <w:t>招标文件其它实质性要求相应的材料（“▲” 系指实质性要求条款，招标文件无其它实质性要求的，无需提供）</w:t>
            </w:r>
          </w:p>
        </w:tc>
        <w:tc>
          <w:tcPr>
            <w:tcW w:w="1418" w:type="dxa"/>
            <w:vAlign w:val="center"/>
          </w:tcPr>
          <w:p>
            <w:pPr>
              <w:jc w:val="center"/>
              <w:rPr>
                <w:rFonts w:hint="eastAsia" w:ascii="仿宋" w:hAnsi="仿宋" w:eastAsia="仿宋" w:cs="仿宋"/>
                <w:color w:val="auto"/>
              </w:rPr>
            </w:pPr>
            <w:r>
              <w:rPr>
                <w:rFonts w:hint="eastAsia" w:ascii="仿宋" w:hAnsi="仿宋" w:eastAsia="仿宋" w:cs="仿宋"/>
                <w:color w:val="auto"/>
                <w:sz w:val="24"/>
              </w:rPr>
              <w:t>见投标文件第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bl>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 xml:space="preserve">            </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widowControl/>
        <w:adjustRightInd/>
        <w:jc w:val="left"/>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br w:type="page"/>
      </w:r>
    </w:p>
    <w:p>
      <w:pPr>
        <w:jc w:val="center"/>
        <w:rPr>
          <w:rFonts w:hint="eastAsia" w:ascii="仿宋" w:hAnsi="仿宋" w:eastAsia="仿宋" w:cs="仿宋"/>
          <w:color w:val="auto"/>
        </w:rPr>
      </w:pPr>
      <w:r>
        <w:rPr>
          <w:rFonts w:hint="eastAsia" w:ascii="仿宋" w:hAnsi="仿宋" w:eastAsia="仿宋" w:cs="仿宋"/>
          <w:b/>
          <w:color w:val="auto"/>
          <w:kern w:val="0"/>
          <w:sz w:val="32"/>
          <w:szCs w:val="32"/>
        </w:rPr>
        <w:t>五、评标标准相应的商务技术资料</w:t>
      </w:r>
    </w:p>
    <w:p>
      <w:pPr>
        <w:snapToGrid w:val="0"/>
        <w:spacing w:line="360" w:lineRule="auto"/>
        <w:jc w:val="left"/>
        <w:rPr>
          <w:rFonts w:hint="eastAsia" w:ascii="仿宋" w:hAnsi="仿宋" w:eastAsia="仿宋" w:cs="仿宋"/>
          <w:b/>
          <w:color w:val="auto"/>
          <w:sz w:val="24"/>
        </w:rPr>
      </w:pPr>
      <w:r>
        <w:rPr>
          <w:rFonts w:hint="eastAsia" w:ascii="仿宋" w:hAnsi="仿宋" w:eastAsia="仿宋" w:cs="仿宋"/>
          <w:b/>
          <w:color w:val="auto"/>
          <w:sz w:val="24"/>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bl>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color w:val="auto"/>
                <w:sz w:val="24"/>
              </w:rPr>
            </w:pPr>
            <w:r>
              <w:rPr>
                <w:rFonts w:hint="eastAsia" w:ascii="仿宋" w:hAnsi="仿宋" w:eastAsia="仿宋" w:cs="仿宋"/>
                <w:b/>
                <w:bCs/>
                <w:color w:val="auto"/>
                <w:sz w:val="24"/>
              </w:rPr>
              <w:t>序号</w:t>
            </w:r>
          </w:p>
        </w:tc>
        <w:tc>
          <w:tcPr>
            <w:tcW w:w="3683" w:type="dxa"/>
          </w:tcPr>
          <w:p>
            <w:pPr>
              <w:jc w:val="center"/>
              <w:rPr>
                <w:rFonts w:hint="eastAsia" w:ascii="仿宋" w:hAnsi="仿宋" w:eastAsia="仿宋" w:cs="仿宋"/>
                <w:b/>
                <w:bCs/>
                <w:color w:val="auto"/>
                <w:sz w:val="24"/>
              </w:rPr>
            </w:pPr>
            <w:r>
              <w:rPr>
                <w:rFonts w:hint="eastAsia" w:ascii="仿宋" w:hAnsi="仿宋" w:eastAsia="仿宋" w:cs="仿宋"/>
                <w:b/>
                <w:bCs/>
                <w:color w:val="auto"/>
                <w:sz w:val="24"/>
              </w:rPr>
              <w:t>招标文件章节及具体内容</w:t>
            </w:r>
          </w:p>
        </w:tc>
        <w:tc>
          <w:tcPr>
            <w:tcW w:w="3546" w:type="dxa"/>
          </w:tcPr>
          <w:p>
            <w:pPr>
              <w:jc w:val="center"/>
              <w:rPr>
                <w:rFonts w:hint="eastAsia" w:ascii="仿宋" w:hAnsi="仿宋" w:eastAsia="仿宋" w:cs="仿宋"/>
                <w:b/>
                <w:bCs/>
                <w:color w:val="auto"/>
                <w:sz w:val="24"/>
              </w:rPr>
            </w:pPr>
            <w:r>
              <w:rPr>
                <w:rFonts w:hint="eastAsia" w:ascii="仿宋" w:hAnsi="仿宋" w:eastAsia="仿宋" w:cs="仿宋"/>
                <w:b/>
                <w:bCs/>
                <w:color w:val="auto"/>
                <w:sz w:val="24"/>
              </w:rPr>
              <w:t>投标文件章节及具体内容</w:t>
            </w:r>
          </w:p>
        </w:tc>
        <w:tc>
          <w:tcPr>
            <w:tcW w:w="1276" w:type="dxa"/>
          </w:tcPr>
          <w:p>
            <w:pPr>
              <w:jc w:val="center"/>
              <w:rPr>
                <w:rFonts w:hint="eastAsia" w:ascii="仿宋" w:hAnsi="仿宋" w:eastAsia="仿宋" w:cs="仿宋"/>
                <w:b/>
                <w:bCs/>
                <w:color w:val="auto"/>
                <w:sz w:val="24"/>
              </w:rPr>
            </w:pPr>
            <w:r>
              <w:rPr>
                <w:rFonts w:hint="eastAsia" w:ascii="仿宋" w:hAnsi="仿宋" w:eastAsia="仿宋" w:cs="仿宋"/>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1</w:t>
            </w:r>
          </w:p>
        </w:tc>
        <w:tc>
          <w:tcPr>
            <w:tcW w:w="3683" w:type="dxa"/>
          </w:tcPr>
          <w:p>
            <w:pPr>
              <w:jc w:val="center"/>
              <w:rPr>
                <w:rFonts w:hint="eastAsia" w:ascii="仿宋" w:hAnsi="仿宋" w:eastAsia="仿宋" w:cs="仿宋"/>
                <w:b/>
                <w:color w:val="auto"/>
                <w:kern w:val="0"/>
                <w:sz w:val="32"/>
                <w:szCs w:val="32"/>
              </w:rPr>
            </w:pPr>
          </w:p>
        </w:tc>
        <w:tc>
          <w:tcPr>
            <w:tcW w:w="3546" w:type="dxa"/>
          </w:tcPr>
          <w:p>
            <w:pPr>
              <w:jc w:val="center"/>
              <w:rPr>
                <w:rFonts w:hint="eastAsia" w:ascii="仿宋" w:hAnsi="仿宋" w:eastAsia="仿宋" w:cs="仿宋"/>
                <w:b/>
                <w:color w:val="auto"/>
                <w:kern w:val="0"/>
                <w:sz w:val="32"/>
                <w:szCs w:val="32"/>
              </w:rPr>
            </w:pPr>
          </w:p>
        </w:tc>
        <w:tc>
          <w:tcPr>
            <w:tcW w:w="1276" w:type="dxa"/>
          </w:tcPr>
          <w:p>
            <w:pPr>
              <w:jc w:val="center"/>
              <w:rPr>
                <w:rFonts w:hint="eastAsia"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2</w:t>
            </w:r>
          </w:p>
        </w:tc>
        <w:tc>
          <w:tcPr>
            <w:tcW w:w="3683" w:type="dxa"/>
          </w:tcPr>
          <w:p>
            <w:pPr>
              <w:jc w:val="center"/>
              <w:rPr>
                <w:rFonts w:hint="eastAsia" w:ascii="仿宋" w:hAnsi="仿宋" w:eastAsia="仿宋" w:cs="仿宋"/>
                <w:b/>
                <w:color w:val="auto"/>
                <w:kern w:val="0"/>
                <w:sz w:val="32"/>
                <w:szCs w:val="32"/>
              </w:rPr>
            </w:pPr>
          </w:p>
        </w:tc>
        <w:tc>
          <w:tcPr>
            <w:tcW w:w="3546" w:type="dxa"/>
          </w:tcPr>
          <w:p>
            <w:pPr>
              <w:jc w:val="center"/>
              <w:rPr>
                <w:rFonts w:hint="eastAsia" w:ascii="仿宋" w:hAnsi="仿宋" w:eastAsia="仿宋" w:cs="仿宋"/>
                <w:b/>
                <w:color w:val="auto"/>
                <w:kern w:val="0"/>
                <w:sz w:val="32"/>
                <w:szCs w:val="32"/>
              </w:rPr>
            </w:pPr>
          </w:p>
        </w:tc>
        <w:tc>
          <w:tcPr>
            <w:tcW w:w="1276" w:type="dxa"/>
          </w:tcPr>
          <w:p>
            <w:pPr>
              <w:jc w:val="center"/>
              <w:rPr>
                <w:rFonts w:hint="eastAsia"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w:t>
            </w:r>
          </w:p>
        </w:tc>
        <w:tc>
          <w:tcPr>
            <w:tcW w:w="3683" w:type="dxa"/>
          </w:tcPr>
          <w:p>
            <w:pPr>
              <w:jc w:val="center"/>
              <w:rPr>
                <w:rFonts w:hint="eastAsia" w:ascii="仿宋" w:hAnsi="仿宋" w:eastAsia="仿宋" w:cs="仿宋"/>
                <w:b/>
                <w:color w:val="auto"/>
                <w:kern w:val="0"/>
                <w:sz w:val="32"/>
                <w:szCs w:val="32"/>
              </w:rPr>
            </w:pPr>
          </w:p>
        </w:tc>
        <w:tc>
          <w:tcPr>
            <w:tcW w:w="3546" w:type="dxa"/>
          </w:tcPr>
          <w:p>
            <w:pPr>
              <w:jc w:val="center"/>
              <w:rPr>
                <w:rFonts w:hint="eastAsia" w:ascii="仿宋" w:hAnsi="仿宋" w:eastAsia="仿宋" w:cs="仿宋"/>
                <w:b/>
                <w:color w:val="auto"/>
                <w:kern w:val="0"/>
                <w:sz w:val="32"/>
                <w:szCs w:val="32"/>
              </w:rPr>
            </w:pPr>
          </w:p>
        </w:tc>
        <w:tc>
          <w:tcPr>
            <w:tcW w:w="1276" w:type="dxa"/>
          </w:tcPr>
          <w:p>
            <w:pPr>
              <w:jc w:val="center"/>
              <w:rPr>
                <w:rFonts w:hint="eastAsia" w:ascii="仿宋" w:hAnsi="仿宋" w:eastAsia="仿宋" w:cs="仿宋"/>
                <w:b/>
                <w:color w:val="auto"/>
                <w:kern w:val="0"/>
                <w:sz w:val="32"/>
                <w:szCs w:val="32"/>
              </w:rPr>
            </w:pPr>
          </w:p>
        </w:tc>
      </w:tr>
    </w:tbl>
    <w:p>
      <w:pPr>
        <w:jc w:val="left"/>
        <w:rPr>
          <w:rFonts w:hint="eastAsia" w:ascii="仿宋" w:hAnsi="仿宋" w:eastAsia="仿宋" w:cs="仿宋"/>
          <w:color w:val="auto"/>
          <w:kern w:val="0"/>
          <w:sz w:val="24"/>
        </w:rPr>
      </w:pPr>
      <w:r>
        <w:rPr>
          <w:rFonts w:hint="eastAsia" w:ascii="仿宋" w:hAnsi="仿宋" w:eastAsia="仿宋" w:cs="仿宋"/>
          <w:color w:val="auto"/>
          <w:kern w:val="0"/>
          <w:sz w:val="24"/>
        </w:rPr>
        <w:t>投标人保证：除商务技术偏离表列出的偏离外，投标人响应招标文件的全部要求</w:t>
      </w:r>
    </w:p>
    <w:p>
      <w:pPr>
        <w:jc w:val="center"/>
        <w:rPr>
          <w:rFonts w:hint="eastAsia" w:ascii="仿宋" w:hAnsi="仿宋" w:eastAsia="仿宋" w:cs="仿宋"/>
          <w:b/>
          <w:color w:val="auto"/>
          <w:kern w:val="0"/>
          <w:sz w:val="32"/>
          <w:szCs w:val="32"/>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ind w:firstLine="1911" w:firstLineChars="595"/>
        <w:rPr>
          <w:rFonts w:hint="eastAsia" w:ascii="仿宋" w:hAnsi="仿宋" w:eastAsia="仿宋" w:cs="仿宋"/>
          <w:b/>
          <w:bCs/>
          <w:color w:val="auto"/>
          <w:sz w:val="32"/>
          <w:szCs w:val="32"/>
        </w:rPr>
      </w:pPr>
    </w:p>
    <w:p>
      <w:pPr>
        <w:ind w:firstLine="1911" w:firstLineChars="595"/>
        <w:rPr>
          <w:rFonts w:hint="eastAsia" w:ascii="仿宋" w:hAnsi="仿宋" w:eastAsia="仿宋" w:cs="仿宋"/>
          <w:b/>
          <w:bCs/>
          <w:color w:val="auto"/>
          <w:sz w:val="32"/>
          <w:szCs w:val="32"/>
        </w:rPr>
      </w:pPr>
    </w:p>
    <w:p>
      <w:pPr>
        <w:ind w:firstLine="1911" w:firstLineChars="595"/>
        <w:rPr>
          <w:rFonts w:hint="eastAsia" w:ascii="仿宋" w:hAnsi="仿宋" w:eastAsia="仿宋" w:cs="仿宋"/>
          <w:b/>
          <w:bCs/>
          <w:color w:val="auto"/>
          <w:sz w:val="32"/>
          <w:szCs w:val="32"/>
        </w:rPr>
      </w:pPr>
    </w:p>
    <w:p>
      <w:pPr>
        <w:ind w:firstLine="1911" w:firstLineChars="595"/>
        <w:rPr>
          <w:rFonts w:hint="eastAsia" w:ascii="仿宋" w:hAnsi="仿宋" w:eastAsia="仿宋" w:cs="仿宋"/>
          <w:b/>
          <w:bCs/>
          <w:color w:val="auto"/>
          <w:sz w:val="32"/>
          <w:szCs w:val="32"/>
        </w:rPr>
      </w:pPr>
    </w:p>
    <w:p>
      <w:pPr>
        <w:ind w:firstLine="1911" w:firstLineChars="595"/>
        <w:rPr>
          <w:rFonts w:hint="eastAsia" w:ascii="仿宋" w:hAnsi="仿宋" w:eastAsia="仿宋" w:cs="仿宋"/>
          <w:b/>
          <w:bCs/>
          <w:color w:val="auto"/>
          <w:sz w:val="32"/>
          <w:szCs w:val="32"/>
        </w:rPr>
      </w:pPr>
    </w:p>
    <w:p>
      <w:pPr>
        <w:widowControl/>
        <w:adjustRightInd/>
        <w:jc w:val="left"/>
        <w:rPr>
          <w:rFonts w:hint="eastAsia" w:ascii="仿宋" w:hAnsi="仿宋" w:eastAsia="仿宋" w:cs="仿宋"/>
          <w:b/>
          <w:bCs/>
          <w:color w:val="auto"/>
          <w:sz w:val="32"/>
          <w:szCs w:val="32"/>
        </w:rPr>
      </w:pPr>
      <w:r>
        <w:rPr>
          <w:rFonts w:hint="eastAsia" w:ascii="仿宋" w:hAnsi="仿宋" w:eastAsia="仿宋" w:cs="仿宋"/>
          <w:b/>
          <w:bCs/>
          <w:color w:val="auto"/>
          <w:sz w:val="32"/>
          <w:szCs w:val="32"/>
        </w:rPr>
        <w:br w:type="page"/>
      </w:r>
    </w:p>
    <w:p>
      <w:pPr>
        <w:ind w:firstLine="1911" w:firstLineChars="595"/>
        <w:rPr>
          <w:rFonts w:hint="eastAsia" w:ascii="仿宋" w:hAnsi="仿宋" w:eastAsia="仿宋" w:cs="仿宋"/>
          <w:b/>
          <w:color w:val="auto"/>
          <w:kern w:val="0"/>
          <w:sz w:val="32"/>
          <w:szCs w:val="32"/>
        </w:rPr>
      </w:pPr>
      <w:r>
        <w:rPr>
          <w:rFonts w:hint="eastAsia" w:ascii="仿宋" w:hAnsi="仿宋" w:eastAsia="仿宋" w:cs="仿宋"/>
          <w:b/>
          <w:bCs/>
          <w:color w:val="auto"/>
          <w:sz w:val="32"/>
          <w:szCs w:val="32"/>
        </w:rPr>
        <w:t>八</w:t>
      </w:r>
      <w:r>
        <w:rPr>
          <w:rFonts w:hint="eastAsia" w:ascii="仿宋" w:hAnsi="仿宋" w:eastAsia="仿宋" w:cs="仿宋"/>
          <w:b/>
          <w:color w:val="auto"/>
          <w:kern w:val="0"/>
          <w:sz w:val="32"/>
          <w:szCs w:val="32"/>
        </w:rPr>
        <w:t>、</w:t>
      </w:r>
      <w:r>
        <w:rPr>
          <w:rFonts w:hint="eastAsia" w:ascii="仿宋" w:hAnsi="仿宋" w:eastAsia="仿宋" w:cs="仿宋"/>
          <w:b/>
          <w:color w:val="auto"/>
          <w:kern w:val="0"/>
          <w:sz w:val="32"/>
          <w:szCs w:val="32"/>
          <w:lang w:val="zh-CN"/>
        </w:rPr>
        <w:t>采购供应商廉洁自律承诺书</w:t>
      </w:r>
    </w:p>
    <w:p>
      <w:pPr>
        <w:snapToGrid w:val="0"/>
        <w:spacing w:line="360" w:lineRule="auto"/>
        <w:rPr>
          <w:rFonts w:hint="eastAsia" w:ascii="仿宋" w:hAnsi="仿宋" w:eastAsia="仿宋" w:cs="仿宋"/>
          <w:color w:val="auto"/>
          <w:sz w:val="24"/>
        </w:rPr>
      </w:pP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lang w:val="en-US" w:eastAsia="zh-CN"/>
        </w:rPr>
        <w:t>淳安县两山生态资源经营开发有限公司</w:t>
      </w:r>
      <w:r>
        <w:rPr>
          <w:rFonts w:hint="eastAsia" w:ascii="仿宋" w:hAnsi="仿宋" w:eastAsia="仿宋" w:cs="仿宋"/>
          <w:color w:val="auto"/>
          <w:sz w:val="24"/>
          <w:lang w:val="en-US" w:eastAsia="zh-CN"/>
        </w:rPr>
        <w:tab/>
      </w:r>
      <w:r>
        <w:rPr>
          <w:rFonts w:hint="eastAsia" w:ascii="仿宋" w:hAnsi="仿宋" w:eastAsia="仿宋" w:cs="仿宋"/>
          <w:color w:val="auto"/>
          <w:sz w:val="24"/>
          <w:lang w:val="en-US" w:eastAsia="zh-CN"/>
        </w:rPr>
        <w:t>、东方经纬项目管理有限公司</w:t>
      </w:r>
      <w:r>
        <w:rPr>
          <w:rFonts w:hint="eastAsia" w:ascii="仿宋" w:hAnsi="仿宋" w:eastAsia="仿宋" w:cs="仿宋"/>
          <w:color w:val="auto"/>
          <w:sz w:val="24"/>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我单位响应你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好处；</w:t>
      </w:r>
    </w:p>
    <w:p>
      <w:pPr>
        <w:autoSpaceDE w:val="0"/>
        <w:autoSpaceDN w:val="0"/>
        <w:spacing w:line="360" w:lineRule="auto"/>
        <w:ind w:left="481" w:leftChars="229"/>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六、严格遵守《</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政府采购法》《</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招标投标</w:t>
      </w:r>
    </w:p>
    <w:p>
      <w:pPr>
        <w:autoSpaceDE w:val="0"/>
        <w:autoSpaceDN w:val="0"/>
        <w:spacing w:line="360" w:lineRule="auto"/>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法》</w:t>
      </w:r>
      <w:r>
        <w:rPr>
          <w:rFonts w:hint="eastAsia" w:ascii="仿宋" w:hAnsi="仿宋" w:eastAsia="仿宋" w:cs="仿宋"/>
          <w:color w:val="auto"/>
          <w:sz w:val="24"/>
          <w:lang w:val="zh-CN"/>
        </w:rPr>
        <w:t>《中华人民共和国民法典》</w:t>
      </w:r>
      <w:r>
        <w:rPr>
          <w:rFonts w:hint="eastAsia" w:ascii="仿宋" w:hAnsi="仿宋" w:eastAsia="仿宋" w:cs="仿宋"/>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如违反上述承诺，你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有权立即取消我单位投标、中标或在建项目的建设资格，有权拒绝我单位在一定时期内进入你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投标人名称（</w:t>
      </w:r>
      <w:r>
        <w:rPr>
          <w:rFonts w:hint="eastAsia" w:ascii="仿宋" w:hAnsi="仿宋" w:eastAsia="仿宋" w:cs="仿宋"/>
          <w:color w:val="auto"/>
          <w:sz w:val="24"/>
        </w:rPr>
        <w:t>电子签名</w:t>
      </w:r>
      <w:r>
        <w:rPr>
          <w:rFonts w:hint="eastAsia" w:ascii="仿宋" w:hAnsi="仿宋" w:eastAsia="仿宋" w:cs="仿宋"/>
          <w:color w:val="auto"/>
          <w:kern w:val="0"/>
          <w:sz w:val="24"/>
          <w:lang w:val="zh-CN"/>
        </w:rPr>
        <w:t xml:space="preserve">）：                                                                                                                                                                                                               </w:t>
      </w:r>
    </w:p>
    <w:p>
      <w:pPr>
        <w:spacing w:line="360" w:lineRule="auto"/>
        <w:ind w:left="4620" w:leftChars="2200"/>
        <w:rPr>
          <w:rFonts w:hint="eastAsia" w:ascii="仿宋" w:hAnsi="仿宋" w:eastAsia="仿宋" w:cs="仿宋"/>
          <w:color w:val="auto"/>
          <w:sz w:val="24"/>
        </w:rPr>
      </w:pP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 xml:space="preserve">   年   月   日</w:t>
      </w:r>
    </w:p>
    <w:p>
      <w:pPr>
        <w:spacing w:line="360" w:lineRule="auto"/>
        <w:jc w:val="center"/>
        <w:rPr>
          <w:rFonts w:hint="eastAsia" w:ascii="仿宋" w:hAnsi="仿宋" w:eastAsia="仿宋" w:cs="仿宋"/>
          <w:b/>
          <w:bCs/>
          <w:color w:val="auto"/>
          <w:sz w:val="24"/>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spacing w:line="360" w:lineRule="auto"/>
        <w:jc w:val="center"/>
        <w:rPr>
          <w:rFonts w:hint="eastAsia" w:ascii="仿宋" w:hAnsi="仿宋" w:eastAsia="仿宋" w:cs="仿宋"/>
          <w:b/>
          <w:bCs/>
          <w:color w:val="auto"/>
          <w:sz w:val="24"/>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报价文件部分</w:t>
      </w: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（1）开标一览表（报价表）………………………………………………………（页码）</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2</w:t>
      </w:r>
      <w:r>
        <w:rPr>
          <w:rFonts w:hint="eastAsia" w:ascii="仿宋" w:hAnsi="仿宋" w:eastAsia="仿宋" w:cs="仿宋"/>
          <w:color w:val="auto"/>
          <w:sz w:val="24"/>
        </w:rPr>
        <w:t>）中小企业声明函………………………………………………………………（页码）</w:t>
      </w: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一、开标一览表（报价表）</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lang w:val="en-US" w:eastAsia="zh-CN"/>
        </w:rPr>
        <w:t>淳安县两山生态资源经营开发有限公司</w:t>
      </w:r>
      <w:r>
        <w:rPr>
          <w:rFonts w:hint="eastAsia" w:ascii="仿宋" w:hAnsi="仿宋" w:eastAsia="仿宋" w:cs="仿宋"/>
          <w:color w:val="auto"/>
          <w:sz w:val="24"/>
          <w:lang w:val="en-US" w:eastAsia="zh-CN"/>
        </w:rPr>
        <w:tab/>
      </w:r>
      <w:r>
        <w:rPr>
          <w:rFonts w:hint="eastAsia" w:ascii="仿宋" w:hAnsi="仿宋" w:eastAsia="仿宋" w:cs="仿宋"/>
          <w:color w:val="auto"/>
          <w:sz w:val="24"/>
          <w:lang w:val="en-US" w:eastAsia="zh-CN"/>
        </w:rPr>
        <w:t>、东方经纬项目管理有限公司</w:t>
      </w:r>
      <w:r>
        <w:rPr>
          <w:rFonts w:hint="eastAsia" w:ascii="仿宋" w:hAnsi="仿宋" w:eastAsia="仿宋" w:cs="仿宋"/>
          <w:color w:val="auto"/>
          <w:sz w:val="24"/>
        </w:rPr>
        <w:t>：</w:t>
      </w:r>
    </w:p>
    <w:p>
      <w:pPr>
        <w:snapToGrid w:val="0"/>
        <w:spacing w:line="360" w:lineRule="auto"/>
        <w:ind w:firstLine="482"/>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kern w:val="0"/>
          <w:sz w:val="24"/>
          <w:u w:val="single"/>
          <w:lang w:val="zh-CN" w:eastAsia="zh-CN"/>
        </w:rPr>
        <w:t>两山公司一期（首批）项目建设支撑体系设备（5）巡护船（艇）采购项目</w:t>
      </w:r>
      <w:r>
        <w:rPr>
          <w:rFonts w:hint="eastAsia" w:ascii="仿宋" w:hAnsi="仿宋" w:eastAsia="仿宋" w:cs="仿宋"/>
          <w:color w:val="auto"/>
          <w:kern w:val="0"/>
          <w:sz w:val="24"/>
          <w:u w:val="single"/>
          <w:lang w:val="zh-CN"/>
        </w:rPr>
        <w:t>【</w:t>
      </w:r>
      <w:r>
        <w:rPr>
          <w:rFonts w:hint="eastAsia" w:ascii="仿宋" w:hAnsi="仿宋" w:eastAsia="仿宋" w:cs="仿宋"/>
          <w:color w:val="auto"/>
          <w:kern w:val="0"/>
          <w:sz w:val="24"/>
          <w:lang w:val="zh-CN"/>
        </w:rPr>
        <w:t>招标编号：</w:t>
      </w:r>
      <w:r>
        <w:rPr>
          <w:rFonts w:hint="eastAsia" w:ascii="仿宋" w:hAnsi="仿宋" w:eastAsia="仿宋" w:cs="仿宋"/>
          <w:color w:val="auto"/>
          <w:kern w:val="0"/>
          <w:sz w:val="24"/>
          <w:lang w:val="zh-CN" w:eastAsia="zh-CN"/>
        </w:rPr>
        <w:t>DFJW2023-CA-0</w:t>
      </w:r>
      <w:r>
        <w:rPr>
          <w:rFonts w:hint="eastAsia" w:ascii="仿宋" w:hAnsi="仿宋" w:eastAsia="仿宋" w:cs="仿宋"/>
          <w:color w:val="auto"/>
          <w:kern w:val="0"/>
          <w:sz w:val="24"/>
          <w:lang w:val="en-US" w:eastAsia="zh-CN"/>
        </w:rPr>
        <w:t>20</w:t>
      </w:r>
      <w:r>
        <w:rPr>
          <w:rFonts w:hint="eastAsia" w:ascii="仿宋" w:hAnsi="仿宋" w:eastAsia="仿宋" w:cs="仿宋"/>
          <w:color w:val="auto"/>
          <w:kern w:val="0"/>
          <w:sz w:val="24"/>
          <w:lang w:val="zh-CN" w:eastAsia="zh-CN"/>
        </w:rPr>
        <w:t>号</w:t>
      </w:r>
      <w:r>
        <w:rPr>
          <w:rFonts w:hint="eastAsia" w:ascii="仿宋" w:hAnsi="仿宋" w:eastAsia="仿宋" w:cs="仿宋"/>
          <w:color w:val="auto"/>
          <w:sz w:val="24"/>
        </w:rPr>
        <w:t>】的实施</w:t>
      </w:r>
      <w:r>
        <w:rPr>
          <w:rFonts w:hint="eastAsia" w:ascii="仿宋" w:hAnsi="仿宋" w:eastAsia="仿宋" w:cs="仿宋"/>
          <w:color w:val="auto"/>
          <w:kern w:val="0"/>
          <w:sz w:val="24"/>
          <w:lang w:val="zh-CN"/>
        </w:rPr>
        <w:t>。</w:t>
      </w:r>
    </w:p>
    <w:p>
      <w:pPr>
        <w:spacing w:line="360" w:lineRule="auto"/>
        <w:jc w:val="center"/>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开标一览表（报价表）(单位均为人民币元)</w:t>
      </w:r>
    </w:p>
    <w:tbl>
      <w:tblPr>
        <w:tblStyle w:val="62"/>
        <w:tblW w:w="15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1232"/>
        <w:gridCol w:w="1602"/>
        <w:gridCol w:w="2711"/>
        <w:gridCol w:w="863"/>
        <w:gridCol w:w="1355"/>
        <w:gridCol w:w="1725"/>
        <w:gridCol w:w="2712"/>
        <w:gridCol w:w="2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464"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232"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名称</w:t>
            </w:r>
          </w:p>
        </w:tc>
        <w:tc>
          <w:tcPr>
            <w:tcW w:w="1602" w:type="dxa"/>
          </w:tcPr>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品牌（如果有）</w:t>
            </w:r>
          </w:p>
        </w:tc>
        <w:tc>
          <w:tcPr>
            <w:tcW w:w="2711"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规格型号</w:t>
            </w:r>
          </w:p>
        </w:tc>
        <w:tc>
          <w:tcPr>
            <w:tcW w:w="863"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数量</w:t>
            </w:r>
          </w:p>
        </w:tc>
        <w:tc>
          <w:tcPr>
            <w:tcW w:w="1355"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单价</w:t>
            </w:r>
          </w:p>
        </w:tc>
        <w:tc>
          <w:tcPr>
            <w:tcW w:w="1725"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合计</w:t>
            </w:r>
          </w:p>
        </w:tc>
        <w:tc>
          <w:tcPr>
            <w:tcW w:w="2712" w:type="dxa"/>
            <w:vAlign w:val="center"/>
          </w:tcPr>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项目负责人</w:t>
            </w:r>
          </w:p>
        </w:tc>
        <w:tc>
          <w:tcPr>
            <w:tcW w:w="2712"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备注（如果有）</w:t>
            </w:r>
          </w:p>
          <w:p>
            <w:pPr>
              <w:spacing w:line="360" w:lineRule="auto"/>
              <w:jc w:val="center"/>
              <w:rPr>
                <w:rFonts w:hint="eastAsia"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464"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232" w:type="dxa"/>
            <w:vAlign w:val="center"/>
          </w:tcPr>
          <w:p>
            <w:pPr>
              <w:snapToGrid w:val="0"/>
              <w:spacing w:line="360" w:lineRule="auto"/>
              <w:jc w:val="center"/>
              <w:rPr>
                <w:rFonts w:hint="eastAsia" w:ascii="仿宋" w:hAnsi="仿宋" w:eastAsia="仿宋" w:cs="仿宋"/>
                <w:color w:val="auto"/>
                <w:sz w:val="24"/>
              </w:rPr>
            </w:pPr>
          </w:p>
        </w:tc>
        <w:tc>
          <w:tcPr>
            <w:tcW w:w="1602" w:type="dxa"/>
            <w:vAlign w:val="center"/>
          </w:tcPr>
          <w:p>
            <w:pPr>
              <w:snapToGrid w:val="0"/>
              <w:spacing w:line="360" w:lineRule="auto"/>
              <w:jc w:val="center"/>
              <w:rPr>
                <w:rFonts w:hint="eastAsia" w:ascii="仿宋" w:hAnsi="仿宋" w:eastAsia="仿宋" w:cs="仿宋"/>
                <w:color w:val="auto"/>
                <w:sz w:val="24"/>
              </w:rPr>
            </w:pPr>
          </w:p>
        </w:tc>
        <w:tc>
          <w:tcPr>
            <w:tcW w:w="2711" w:type="dxa"/>
            <w:vAlign w:val="center"/>
          </w:tcPr>
          <w:p>
            <w:pPr>
              <w:snapToGrid w:val="0"/>
              <w:spacing w:line="360" w:lineRule="auto"/>
              <w:jc w:val="center"/>
              <w:rPr>
                <w:rFonts w:hint="eastAsia" w:ascii="仿宋" w:hAnsi="仿宋" w:eastAsia="仿宋" w:cs="仿宋"/>
                <w:color w:val="auto"/>
                <w:sz w:val="24"/>
              </w:rPr>
            </w:pPr>
          </w:p>
        </w:tc>
        <w:tc>
          <w:tcPr>
            <w:tcW w:w="863" w:type="dxa"/>
            <w:vAlign w:val="center"/>
          </w:tcPr>
          <w:p>
            <w:pPr>
              <w:snapToGrid w:val="0"/>
              <w:spacing w:line="360" w:lineRule="auto"/>
              <w:jc w:val="center"/>
              <w:rPr>
                <w:rFonts w:hint="eastAsia" w:ascii="仿宋" w:hAnsi="仿宋" w:eastAsia="仿宋" w:cs="仿宋"/>
                <w:color w:val="auto"/>
                <w:sz w:val="24"/>
              </w:rPr>
            </w:pPr>
          </w:p>
        </w:tc>
        <w:tc>
          <w:tcPr>
            <w:tcW w:w="1355" w:type="dxa"/>
            <w:vAlign w:val="center"/>
          </w:tcPr>
          <w:p>
            <w:pPr>
              <w:spacing w:line="360" w:lineRule="auto"/>
              <w:jc w:val="center"/>
              <w:rPr>
                <w:rFonts w:hint="eastAsia" w:ascii="仿宋" w:hAnsi="仿宋" w:eastAsia="仿宋" w:cs="仿宋"/>
                <w:color w:val="auto"/>
                <w:sz w:val="24"/>
              </w:rPr>
            </w:pPr>
          </w:p>
        </w:tc>
        <w:tc>
          <w:tcPr>
            <w:tcW w:w="1725" w:type="dxa"/>
            <w:vAlign w:val="center"/>
          </w:tcPr>
          <w:p>
            <w:pPr>
              <w:spacing w:line="360" w:lineRule="auto"/>
              <w:jc w:val="center"/>
              <w:rPr>
                <w:rFonts w:hint="eastAsia" w:ascii="仿宋" w:hAnsi="仿宋" w:eastAsia="仿宋" w:cs="仿宋"/>
                <w:color w:val="auto"/>
                <w:sz w:val="24"/>
              </w:rPr>
            </w:pPr>
          </w:p>
        </w:tc>
        <w:tc>
          <w:tcPr>
            <w:tcW w:w="2712" w:type="dxa"/>
            <w:vAlign w:val="center"/>
          </w:tcPr>
          <w:p>
            <w:pPr>
              <w:spacing w:line="360" w:lineRule="auto"/>
              <w:jc w:val="center"/>
              <w:rPr>
                <w:rFonts w:hint="eastAsia" w:ascii="仿宋" w:hAnsi="仿宋" w:eastAsia="仿宋" w:cs="仿宋"/>
                <w:color w:val="auto"/>
                <w:sz w:val="24"/>
              </w:rPr>
            </w:pPr>
          </w:p>
        </w:tc>
        <w:tc>
          <w:tcPr>
            <w:tcW w:w="2712"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464"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232" w:type="dxa"/>
            <w:vAlign w:val="center"/>
          </w:tcPr>
          <w:p>
            <w:pPr>
              <w:snapToGrid w:val="0"/>
              <w:spacing w:line="360" w:lineRule="auto"/>
              <w:jc w:val="center"/>
              <w:rPr>
                <w:rFonts w:hint="eastAsia" w:ascii="仿宋" w:hAnsi="仿宋" w:eastAsia="仿宋" w:cs="仿宋"/>
                <w:color w:val="auto"/>
                <w:sz w:val="24"/>
              </w:rPr>
            </w:pPr>
          </w:p>
        </w:tc>
        <w:tc>
          <w:tcPr>
            <w:tcW w:w="1602" w:type="dxa"/>
            <w:vAlign w:val="center"/>
          </w:tcPr>
          <w:p>
            <w:pPr>
              <w:snapToGrid w:val="0"/>
              <w:spacing w:line="360" w:lineRule="auto"/>
              <w:jc w:val="center"/>
              <w:rPr>
                <w:rFonts w:hint="eastAsia" w:ascii="仿宋" w:hAnsi="仿宋" w:eastAsia="仿宋" w:cs="仿宋"/>
                <w:color w:val="auto"/>
                <w:sz w:val="24"/>
              </w:rPr>
            </w:pPr>
          </w:p>
        </w:tc>
        <w:tc>
          <w:tcPr>
            <w:tcW w:w="2711" w:type="dxa"/>
            <w:vAlign w:val="center"/>
          </w:tcPr>
          <w:p>
            <w:pPr>
              <w:snapToGrid w:val="0"/>
              <w:spacing w:line="360" w:lineRule="auto"/>
              <w:jc w:val="center"/>
              <w:rPr>
                <w:rFonts w:hint="eastAsia" w:ascii="仿宋" w:hAnsi="仿宋" w:eastAsia="仿宋" w:cs="仿宋"/>
                <w:color w:val="auto"/>
                <w:sz w:val="24"/>
              </w:rPr>
            </w:pPr>
          </w:p>
        </w:tc>
        <w:tc>
          <w:tcPr>
            <w:tcW w:w="863" w:type="dxa"/>
            <w:vAlign w:val="center"/>
          </w:tcPr>
          <w:p>
            <w:pPr>
              <w:snapToGrid w:val="0"/>
              <w:spacing w:line="360" w:lineRule="auto"/>
              <w:jc w:val="center"/>
              <w:rPr>
                <w:rFonts w:hint="eastAsia" w:ascii="仿宋" w:hAnsi="仿宋" w:eastAsia="仿宋" w:cs="仿宋"/>
                <w:color w:val="auto"/>
                <w:sz w:val="24"/>
              </w:rPr>
            </w:pPr>
          </w:p>
        </w:tc>
        <w:tc>
          <w:tcPr>
            <w:tcW w:w="1355" w:type="dxa"/>
            <w:vAlign w:val="center"/>
          </w:tcPr>
          <w:p>
            <w:pPr>
              <w:spacing w:line="360" w:lineRule="auto"/>
              <w:jc w:val="center"/>
              <w:rPr>
                <w:rFonts w:hint="eastAsia" w:ascii="仿宋" w:hAnsi="仿宋" w:eastAsia="仿宋" w:cs="仿宋"/>
                <w:color w:val="auto"/>
                <w:sz w:val="24"/>
              </w:rPr>
            </w:pPr>
          </w:p>
        </w:tc>
        <w:tc>
          <w:tcPr>
            <w:tcW w:w="1725" w:type="dxa"/>
            <w:vAlign w:val="center"/>
          </w:tcPr>
          <w:p>
            <w:pPr>
              <w:spacing w:line="360" w:lineRule="auto"/>
              <w:jc w:val="center"/>
              <w:rPr>
                <w:rFonts w:hint="eastAsia" w:ascii="仿宋" w:hAnsi="仿宋" w:eastAsia="仿宋" w:cs="仿宋"/>
                <w:color w:val="auto"/>
                <w:sz w:val="24"/>
              </w:rPr>
            </w:pPr>
          </w:p>
        </w:tc>
        <w:tc>
          <w:tcPr>
            <w:tcW w:w="2712" w:type="dxa"/>
            <w:vAlign w:val="center"/>
          </w:tcPr>
          <w:p>
            <w:pPr>
              <w:spacing w:line="360" w:lineRule="auto"/>
              <w:jc w:val="center"/>
              <w:rPr>
                <w:rFonts w:hint="eastAsia" w:ascii="仿宋" w:hAnsi="仿宋" w:eastAsia="仿宋" w:cs="仿宋"/>
                <w:color w:val="auto"/>
                <w:sz w:val="24"/>
              </w:rPr>
            </w:pPr>
          </w:p>
        </w:tc>
        <w:tc>
          <w:tcPr>
            <w:tcW w:w="2712"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464"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w:t>
            </w:r>
          </w:p>
        </w:tc>
        <w:tc>
          <w:tcPr>
            <w:tcW w:w="1232" w:type="dxa"/>
            <w:vAlign w:val="center"/>
          </w:tcPr>
          <w:p>
            <w:pPr>
              <w:snapToGrid w:val="0"/>
              <w:spacing w:line="360" w:lineRule="auto"/>
              <w:jc w:val="center"/>
              <w:rPr>
                <w:rFonts w:hint="eastAsia" w:ascii="仿宋" w:hAnsi="仿宋" w:eastAsia="仿宋" w:cs="仿宋"/>
                <w:color w:val="auto"/>
                <w:sz w:val="24"/>
              </w:rPr>
            </w:pPr>
          </w:p>
        </w:tc>
        <w:tc>
          <w:tcPr>
            <w:tcW w:w="1602" w:type="dxa"/>
            <w:vAlign w:val="center"/>
          </w:tcPr>
          <w:p>
            <w:pPr>
              <w:snapToGrid w:val="0"/>
              <w:spacing w:line="360" w:lineRule="auto"/>
              <w:jc w:val="center"/>
              <w:rPr>
                <w:rFonts w:hint="eastAsia" w:ascii="仿宋" w:hAnsi="仿宋" w:eastAsia="仿宋" w:cs="仿宋"/>
                <w:color w:val="auto"/>
                <w:sz w:val="24"/>
              </w:rPr>
            </w:pPr>
          </w:p>
        </w:tc>
        <w:tc>
          <w:tcPr>
            <w:tcW w:w="2711" w:type="dxa"/>
            <w:vAlign w:val="center"/>
          </w:tcPr>
          <w:p>
            <w:pPr>
              <w:snapToGrid w:val="0"/>
              <w:spacing w:line="360" w:lineRule="auto"/>
              <w:jc w:val="center"/>
              <w:rPr>
                <w:rFonts w:hint="eastAsia" w:ascii="仿宋" w:hAnsi="仿宋" w:eastAsia="仿宋" w:cs="仿宋"/>
                <w:color w:val="auto"/>
                <w:sz w:val="24"/>
              </w:rPr>
            </w:pPr>
          </w:p>
        </w:tc>
        <w:tc>
          <w:tcPr>
            <w:tcW w:w="863" w:type="dxa"/>
            <w:vAlign w:val="center"/>
          </w:tcPr>
          <w:p>
            <w:pPr>
              <w:snapToGrid w:val="0"/>
              <w:spacing w:line="360" w:lineRule="auto"/>
              <w:jc w:val="center"/>
              <w:rPr>
                <w:rFonts w:hint="eastAsia" w:ascii="仿宋" w:hAnsi="仿宋" w:eastAsia="仿宋" w:cs="仿宋"/>
                <w:color w:val="auto"/>
                <w:sz w:val="24"/>
              </w:rPr>
            </w:pPr>
          </w:p>
        </w:tc>
        <w:tc>
          <w:tcPr>
            <w:tcW w:w="1355" w:type="dxa"/>
            <w:vAlign w:val="center"/>
          </w:tcPr>
          <w:p>
            <w:pPr>
              <w:spacing w:line="360" w:lineRule="auto"/>
              <w:jc w:val="center"/>
              <w:rPr>
                <w:rFonts w:hint="eastAsia" w:ascii="仿宋" w:hAnsi="仿宋" w:eastAsia="仿宋" w:cs="仿宋"/>
                <w:color w:val="auto"/>
                <w:sz w:val="24"/>
              </w:rPr>
            </w:pPr>
          </w:p>
        </w:tc>
        <w:tc>
          <w:tcPr>
            <w:tcW w:w="1725" w:type="dxa"/>
            <w:vAlign w:val="center"/>
          </w:tcPr>
          <w:p>
            <w:pPr>
              <w:spacing w:line="360" w:lineRule="auto"/>
              <w:jc w:val="center"/>
              <w:rPr>
                <w:rFonts w:hint="eastAsia" w:ascii="仿宋" w:hAnsi="仿宋" w:eastAsia="仿宋" w:cs="仿宋"/>
                <w:color w:val="auto"/>
                <w:sz w:val="24"/>
              </w:rPr>
            </w:pPr>
          </w:p>
        </w:tc>
        <w:tc>
          <w:tcPr>
            <w:tcW w:w="2712" w:type="dxa"/>
            <w:vAlign w:val="center"/>
          </w:tcPr>
          <w:p>
            <w:pPr>
              <w:spacing w:line="360" w:lineRule="auto"/>
              <w:jc w:val="center"/>
              <w:rPr>
                <w:rFonts w:hint="eastAsia" w:ascii="仿宋" w:hAnsi="仿宋" w:eastAsia="仿宋" w:cs="仿宋"/>
                <w:color w:val="auto"/>
                <w:sz w:val="24"/>
              </w:rPr>
            </w:pPr>
          </w:p>
        </w:tc>
        <w:tc>
          <w:tcPr>
            <w:tcW w:w="2712"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464" w:type="dxa"/>
            <w:vAlign w:val="center"/>
          </w:tcPr>
          <w:p>
            <w:pPr>
              <w:spacing w:line="360" w:lineRule="auto"/>
              <w:jc w:val="center"/>
              <w:rPr>
                <w:rFonts w:hint="eastAsia" w:ascii="仿宋" w:hAnsi="仿宋" w:eastAsia="仿宋" w:cs="仿宋"/>
                <w:color w:val="auto"/>
                <w:sz w:val="24"/>
              </w:rPr>
            </w:pPr>
          </w:p>
        </w:tc>
        <w:tc>
          <w:tcPr>
            <w:tcW w:w="1232" w:type="dxa"/>
            <w:vAlign w:val="center"/>
          </w:tcPr>
          <w:p>
            <w:pPr>
              <w:snapToGrid w:val="0"/>
              <w:spacing w:line="360" w:lineRule="auto"/>
              <w:jc w:val="center"/>
              <w:rPr>
                <w:rFonts w:hint="eastAsia" w:ascii="仿宋" w:hAnsi="仿宋" w:eastAsia="仿宋" w:cs="仿宋"/>
                <w:color w:val="auto"/>
                <w:sz w:val="24"/>
              </w:rPr>
            </w:pPr>
          </w:p>
        </w:tc>
        <w:tc>
          <w:tcPr>
            <w:tcW w:w="1602" w:type="dxa"/>
            <w:vAlign w:val="center"/>
          </w:tcPr>
          <w:p>
            <w:pPr>
              <w:snapToGrid w:val="0"/>
              <w:spacing w:line="360" w:lineRule="auto"/>
              <w:jc w:val="center"/>
              <w:rPr>
                <w:rFonts w:hint="eastAsia" w:ascii="仿宋" w:hAnsi="仿宋" w:eastAsia="仿宋" w:cs="仿宋"/>
                <w:color w:val="auto"/>
                <w:sz w:val="24"/>
              </w:rPr>
            </w:pPr>
          </w:p>
        </w:tc>
        <w:tc>
          <w:tcPr>
            <w:tcW w:w="2711" w:type="dxa"/>
            <w:vAlign w:val="center"/>
          </w:tcPr>
          <w:p>
            <w:pPr>
              <w:snapToGrid w:val="0"/>
              <w:spacing w:line="360" w:lineRule="auto"/>
              <w:jc w:val="center"/>
              <w:rPr>
                <w:rFonts w:hint="eastAsia" w:ascii="仿宋" w:hAnsi="仿宋" w:eastAsia="仿宋" w:cs="仿宋"/>
                <w:color w:val="auto"/>
                <w:sz w:val="24"/>
              </w:rPr>
            </w:pPr>
          </w:p>
        </w:tc>
        <w:tc>
          <w:tcPr>
            <w:tcW w:w="863" w:type="dxa"/>
            <w:vAlign w:val="center"/>
          </w:tcPr>
          <w:p>
            <w:pPr>
              <w:snapToGrid w:val="0"/>
              <w:spacing w:line="360" w:lineRule="auto"/>
              <w:jc w:val="center"/>
              <w:rPr>
                <w:rFonts w:hint="eastAsia" w:ascii="仿宋" w:hAnsi="仿宋" w:eastAsia="仿宋" w:cs="仿宋"/>
                <w:color w:val="auto"/>
                <w:sz w:val="24"/>
              </w:rPr>
            </w:pPr>
          </w:p>
        </w:tc>
        <w:tc>
          <w:tcPr>
            <w:tcW w:w="1355" w:type="dxa"/>
            <w:vAlign w:val="center"/>
          </w:tcPr>
          <w:p>
            <w:pPr>
              <w:spacing w:line="360" w:lineRule="auto"/>
              <w:jc w:val="center"/>
              <w:rPr>
                <w:rFonts w:hint="eastAsia" w:ascii="仿宋" w:hAnsi="仿宋" w:eastAsia="仿宋" w:cs="仿宋"/>
                <w:color w:val="auto"/>
                <w:sz w:val="24"/>
              </w:rPr>
            </w:pPr>
          </w:p>
        </w:tc>
        <w:tc>
          <w:tcPr>
            <w:tcW w:w="1725" w:type="dxa"/>
            <w:vAlign w:val="center"/>
          </w:tcPr>
          <w:p>
            <w:pPr>
              <w:spacing w:line="360" w:lineRule="auto"/>
              <w:jc w:val="center"/>
              <w:rPr>
                <w:rFonts w:hint="eastAsia" w:ascii="仿宋" w:hAnsi="仿宋" w:eastAsia="仿宋" w:cs="仿宋"/>
                <w:color w:val="auto"/>
                <w:sz w:val="24"/>
              </w:rPr>
            </w:pPr>
          </w:p>
        </w:tc>
        <w:tc>
          <w:tcPr>
            <w:tcW w:w="2712" w:type="dxa"/>
            <w:vAlign w:val="center"/>
          </w:tcPr>
          <w:p>
            <w:pPr>
              <w:spacing w:line="360" w:lineRule="auto"/>
              <w:jc w:val="center"/>
              <w:rPr>
                <w:rFonts w:hint="eastAsia" w:ascii="仿宋" w:hAnsi="仿宋" w:eastAsia="仿宋" w:cs="仿宋"/>
                <w:color w:val="auto"/>
                <w:sz w:val="24"/>
              </w:rPr>
            </w:pPr>
          </w:p>
        </w:tc>
        <w:tc>
          <w:tcPr>
            <w:tcW w:w="2712"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464" w:type="dxa"/>
            <w:vAlign w:val="center"/>
          </w:tcPr>
          <w:p>
            <w:pPr>
              <w:spacing w:line="360" w:lineRule="auto"/>
              <w:jc w:val="center"/>
              <w:rPr>
                <w:rFonts w:hint="eastAsia" w:ascii="仿宋" w:hAnsi="仿宋" w:eastAsia="仿宋" w:cs="仿宋"/>
                <w:color w:val="auto"/>
                <w:sz w:val="24"/>
              </w:rPr>
            </w:pPr>
          </w:p>
        </w:tc>
        <w:tc>
          <w:tcPr>
            <w:tcW w:w="1232" w:type="dxa"/>
            <w:vAlign w:val="center"/>
          </w:tcPr>
          <w:p>
            <w:pPr>
              <w:snapToGrid w:val="0"/>
              <w:spacing w:line="360" w:lineRule="auto"/>
              <w:jc w:val="center"/>
              <w:rPr>
                <w:rFonts w:hint="eastAsia" w:ascii="仿宋" w:hAnsi="仿宋" w:eastAsia="仿宋" w:cs="仿宋"/>
                <w:color w:val="auto"/>
                <w:sz w:val="24"/>
              </w:rPr>
            </w:pPr>
          </w:p>
        </w:tc>
        <w:tc>
          <w:tcPr>
            <w:tcW w:w="1602" w:type="dxa"/>
            <w:vAlign w:val="center"/>
          </w:tcPr>
          <w:p>
            <w:pPr>
              <w:snapToGrid w:val="0"/>
              <w:spacing w:line="360" w:lineRule="auto"/>
              <w:jc w:val="center"/>
              <w:rPr>
                <w:rFonts w:hint="eastAsia" w:ascii="仿宋" w:hAnsi="仿宋" w:eastAsia="仿宋" w:cs="仿宋"/>
                <w:color w:val="auto"/>
                <w:sz w:val="24"/>
              </w:rPr>
            </w:pPr>
          </w:p>
        </w:tc>
        <w:tc>
          <w:tcPr>
            <w:tcW w:w="2711" w:type="dxa"/>
            <w:vAlign w:val="center"/>
          </w:tcPr>
          <w:p>
            <w:pPr>
              <w:snapToGrid w:val="0"/>
              <w:spacing w:line="360" w:lineRule="auto"/>
              <w:jc w:val="center"/>
              <w:rPr>
                <w:rFonts w:hint="eastAsia" w:ascii="仿宋" w:hAnsi="仿宋" w:eastAsia="仿宋" w:cs="仿宋"/>
                <w:color w:val="auto"/>
                <w:sz w:val="24"/>
              </w:rPr>
            </w:pPr>
          </w:p>
        </w:tc>
        <w:tc>
          <w:tcPr>
            <w:tcW w:w="863" w:type="dxa"/>
            <w:vAlign w:val="center"/>
          </w:tcPr>
          <w:p>
            <w:pPr>
              <w:snapToGrid w:val="0"/>
              <w:spacing w:line="360" w:lineRule="auto"/>
              <w:jc w:val="center"/>
              <w:rPr>
                <w:rFonts w:hint="eastAsia" w:ascii="仿宋" w:hAnsi="仿宋" w:eastAsia="仿宋" w:cs="仿宋"/>
                <w:color w:val="auto"/>
                <w:sz w:val="24"/>
              </w:rPr>
            </w:pPr>
          </w:p>
        </w:tc>
        <w:tc>
          <w:tcPr>
            <w:tcW w:w="1355" w:type="dxa"/>
            <w:vAlign w:val="center"/>
          </w:tcPr>
          <w:p>
            <w:pPr>
              <w:spacing w:line="360" w:lineRule="auto"/>
              <w:jc w:val="center"/>
              <w:rPr>
                <w:rFonts w:hint="eastAsia" w:ascii="仿宋" w:hAnsi="仿宋" w:eastAsia="仿宋" w:cs="仿宋"/>
                <w:color w:val="auto"/>
                <w:sz w:val="24"/>
              </w:rPr>
            </w:pPr>
          </w:p>
        </w:tc>
        <w:tc>
          <w:tcPr>
            <w:tcW w:w="1725" w:type="dxa"/>
            <w:vAlign w:val="center"/>
          </w:tcPr>
          <w:p>
            <w:pPr>
              <w:spacing w:line="360" w:lineRule="auto"/>
              <w:jc w:val="center"/>
              <w:rPr>
                <w:rFonts w:hint="eastAsia" w:ascii="仿宋" w:hAnsi="仿宋" w:eastAsia="仿宋" w:cs="仿宋"/>
                <w:color w:val="auto"/>
                <w:sz w:val="24"/>
              </w:rPr>
            </w:pPr>
          </w:p>
        </w:tc>
        <w:tc>
          <w:tcPr>
            <w:tcW w:w="2712" w:type="dxa"/>
            <w:vAlign w:val="center"/>
          </w:tcPr>
          <w:p>
            <w:pPr>
              <w:spacing w:line="360" w:lineRule="auto"/>
              <w:jc w:val="center"/>
              <w:rPr>
                <w:rFonts w:hint="eastAsia" w:ascii="仿宋" w:hAnsi="仿宋" w:eastAsia="仿宋" w:cs="仿宋"/>
                <w:color w:val="auto"/>
                <w:sz w:val="24"/>
              </w:rPr>
            </w:pPr>
          </w:p>
        </w:tc>
        <w:tc>
          <w:tcPr>
            <w:tcW w:w="2712"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009" w:type="dxa"/>
            <w:gridSpan w:val="4"/>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投标报价（小写）</w:t>
            </w:r>
          </w:p>
        </w:tc>
        <w:tc>
          <w:tcPr>
            <w:tcW w:w="9367" w:type="dxa"/>
            <w:gridSpan w:val="5"/>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6009" w:type="dxa"/>
            <w:gridSpan w:val="4"/>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投标报价（大写）</w:t>
            </w:r>
          </w:p>
        </w:tc>
        <w:tc>
          <w:tcPr>
            <w:tcW w:w="9367" w:type="dxa"/>
            <w:gridSpan w:val="5"/>
            <w:vAlign w:val="center"/>
          </w:tcPr>
          <w:p>
            <w:pPr>
              <w:spacing w:line="360" w:lineRule="auto"/>
              <w:jc w:val="center"/>
              <w:rPr>
                <w:rFonts w:hint="eastAsia" w:ascii="仿宋" w:hAnsi="仿宋" w:eastAsia="仿宋" w:cs="仿宋"/>
                <w:color w:val="auto"/>
                <w:sz w:val="24"/>
              </w:rPr>
            </w:pPr>
          </w:p>
        </w:tc>
      </w:tr>
    </w:tbl>
    <w:p>
      <w:pPr>
        <w:snapToGrid w:val="0"/>
        <w:spacing w:line="360" w:lineRule="auto"/>
        <w:ind w:left="480"/>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注：</w:t>
      </w:r>
    </w:p>
    <w:p>
      <w:pPr>
        <w:spacing w:line="360" w:lineRule="auto"/>
        <w:ind w:left="-2" w:leftChars="-1"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1、投标人需按本表格式填写</w:t>
      </w:r>
      <w:r>
        <w:rPr>
          <w:rFonts w:hint="eastAsia" w:ascii="仿宋" w:hAnsi="仿宋" w:eastAsia="仿宋" w:cs="仿宋"/>
          <w:b/>
          <w:color w:val="auto"/>
          <w:kern w:val="0"/>
          <w:sz w:val="24"/>
          <w:lang w:val="zh-CN"/>
        </w:rPr>
        <w:t>，</w:t>
      </w:r>
      <w:r>
        <w:rPr>
          <w:rFonts w:hint="eastAsia" w:ascii="仿宋" w:hAnsi="仿宋" w:eastAsia="仿宋" w:cs="仿宋"/>
          <w:b/>
          <w:color w:val="auto"/>
          <w:kern w:val="0"/>
          <w:sz w:val="24"/>
        </w:rPr>
        <w:t>否则视为</w:t>
      </w:r>
      <w:r>
        <w:rPr>
          <w:rFonts w:hint="eastAsia" w:ascii="仿宋" w:hAnsi="仿宋" w:eastAsia="仿宋" w:cs="仿宋"/>
          <w:b/>
          <w:color w:val="auto"/>
          <w:sz w:val="24"/>
        </w:rPr>
        <w:t>投标文件含有采购人不能接受的附加条件，投标无效</w:t>
      </w:r>
      <w:r>
        <w:rPr>
          <w:rFonts w:hint="eastAsia" w:ascii="仿宋" w:hAnsi="仿宋" w:eastAsia="仿宋" w:cs="仿宋"/>
          <w:color w:val="auto"/>
          <w:kern w:val="0"/>
          <w:sz w:val="24"/>
          <w:lang w:val="zh-CN"/>
        </w:rPr>
        <w:t>。</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lang w:val="zh-CN"/>
        </w:rPr>
        <w:t>2、有关本项目实施所涉及的一切费用均计入报价。</w:t>
      </w:r>
      <w:r>
        <w:rPr>
          <w:rFonts w:hint="eastAsia" w:ascii="仿宋" w:hAnsi="仿宋" w:eastAsia="仿宋" w:cs="仿宋"/>
          <w:b/>
          <w:color w:val="auto"/>
          <w:kern w:val="0"/>
          <w:sz w:val="24"/>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不得出现“0元”“免费赠送”等形式的无偿报价，</w:t>
      </w:r>
      <w:r>
        <w:rPr>
          <w:rFonts w:hint="eastAsia" w:ascii="仿宋" w:hAnsi="仿宋" w:eastAsia="仿宋" w:cs="仿宋"/>
          <w:b/>
          <w:color w:val="auto"/>
          <w:kern w:val="0"/>
          <w:sz w:val="24"/>
        </w:rPr>
        <w:t>否则视为</w:t>
      </w:r>
      <w:r>
        <w:rPr>
          <w:rFonts w:hint="eastAsia" w:ascii="仿宋" w:hAnsi="仿宋" w:eastAsia="仿宋" w:cs="仿宋"/>
          <w:b/>
          <w:color w:val="auto"/>
          <w:sz w:val="24"/>
        </w:rPr>
        <w:t>投标文件含有采购人不能接受的附加条件，投标无效</w:t>
      </w:r>
      <w:r>
        <w:rPr>
          <w:rFonts w:hint="eastAsia" w:ascii="仿宋" w:hAnsi="仿宋" w:eastAsia="仿宋" w:cs="仿宋"/>
          <w:b/>
          <w:color w:val="auto"/>
          <w:kern w:val="0"/>
          <w:sz w:val="24"/>
          <w:lang w:val="zh-CN"/>
        </w:rPr>
        <w:t>；采购内容未包含在《开标一览表（报价表）》名称栏中，投标人不能作出合理解释的，</w:t>
      </w:r>
      <w:r>
        <w:rPr>
          <w:rFonts w:hint="eastAsia" w:ascii="仿宋" w:hAnsi="仿宋" w:eastAsia="仿宋" w:cs="仿宋"/>
          <w:b/>
          <w:color w:val="auto"/>
          <w:kern w:val="0"/>
          <w:sz w:val="24"/>
        </w:rPr>
        <w:t>视为</w:t>
      </w:r>
      <w:r>
        <w:rPr>
          <w:rFonts w:hint="eastAsia" w:ascii="仿宋" w:hAnsi="仿宋" w:eastAsia="仿宋" w:cs="仿宋"/>
          <w:b/>
          <w:color w:val="auto"/>
          <w:sz w:val="24"/>
        </w:rPr>
        <w:t>投标文件含有采购人不能接受的附加条件的，投标无效。</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szCs w:val="22"/>
          <w:lang w:val="zh-CN"/>
        </w:rPr>
        <w:t>4、</w:t>
      </w:r>
      <w:r>
        <w:rPr>
          <w:rFonts w:hint="eastAsia" w:ascii="仿宋" w:hAnsi="仿宋" w:eastAsia="仿宋" w:cs="仿宋"/>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2"/>
        <w:ind w:firstLine="480" w:firstLineChars="200"/>
        <w:rPr>
          <w:rFonts w:hint="eastAsia" w:ascii="仿宋" w:hAnsi="仿宋" w:eastAsia="仿宋" w:cs="仿宋"/>
          <w:b/>
          <w:bCs/>
          <w:color w:val="auto"/>
          <w:kern w:val="0"/>
          <w:lang w:val="en-US"/>
        </w:rPr>
        <w:sectPr>
          <w:pgSz w:w="16838" w:h="11906" w:orient="landscape"/>
          <w:pgMar w:top="1418" w:right="1247" w:bottom="1418" w:left="1276" w:header="851" w:footer="992" w:gutter="0"/>
          <w:cols w:space="720" w:num="1"/>
          <w:titlePg/>
          <w:docGrid w:linePitch="312" w:charSpace="0"/>
        </w:sectPr>
      </w:pPr>
      <w:r>
        <w:rPr>
          <w:rFonts w:hint="eastAsia" w:ascii="仿宋" w:hAnsi="仿宋" w:eastAsia="仿宋" w:cs="仿宋"/>
          <w:color w:val="auto"/>
          <w:kern w:val="0"/>
          <w:lang w:val="en-US"/>
        </w:rPr>
        <w:t>5、</w:t>
      </w:r>
      <w:r>
        <w:rPr>
          <w:rFonts w:hint="eastAsia" w:ascii="仿宋" w:hAnsi="仿宋" w:eastAsia="仿宋" w:cs="仿宋"/>
          <w:b/>
          <w:bCs/>
          <w:color w:val="auto"/>
          <w:kern w:val="0"/>
          <w:lang w:val="en-US"/>
        </w:rPr>
        <w:t>特别说明：</w:t>
      </w:r>
      <w:r>
        <w:rPr>
          <w:rFonts w:hint="eastAsia" w:ascii="仿宋" w:hAnsi="仿宋" w:eastAsia="仿宋" w:cs="仿宋"/>
          <w:color w:val="auto"/>
        </w:rPr>
        <w:t>▲</w:t>
      </w:r>
      <w:r>
        <w:rPr>
          <w:rFonts w:hint="eastAsia" w:ascii="仿宋" w:hAnsi="仿宋" w:eastAsia="仿宋" w:cs="仿宋"/>
          <w:b/>
          <w:bCs/>
          <w:color w:val="auto"/>
          <w:kern w:val="0"/>
          <w:lang w:val="en-US"/>
        </w:rPr>
        <w:t>供应商报价低于项目预算50%的，应当在报价文件中详细阐述不影响产品质量或者诚信履约的具体原因。</w:t>
      </w:r>
    </w:p>
    <w:p>
      <w:pPr>
        <w:pStyle w:val="5"/>
        <w:keepNext w:val="0"/>
        <w:keepLines w:val="0"/>
        <w:pageBreakBefore/>
        <w:widowControl/>
        <w:spacing w:before="100" w:beforeAutospacing="1" w:after="100" w:afterAutospacing="1" w:line="360" w:lineRule="auto"/>
        <w:ind w:left="0" w:firstLine="3975" w:firstLineChars="900"/>
        <w:rPr>
          <w:rFonts w:hint="eastAsia" w:ascii="仿宋" w:hAnsi="仿宋" w:eastAsia="仿宋" w:cs="仿宋"/>
          <w:color w:val="auto"/>
        </w:rPr>
      </w:pPr>
      <w:bookmarkStart w:id="398" w:name="_Toc465665161"/>
      <w:r>
        <w:rPr>
          <w:rFonts w:hint="eastAsia" w:ascii="仿宋" w:hAnsi="仿宋" w:eastAsia="仿宋" w:cs="仿宋"/>
          <w:color w:val="auto"/>
        </w:rPr>
        <w:t>附件</w:t>
      </w:r>
      <w:bookmarkEnd w:id="398"/>
    </w:p>
    <w:p>
      <w:pPr>
        <w:spacing w:line="360" w:lineRule="auto"/>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附件1：</w:t>
      </w:r>
    </w:p>
    <w:p>
      <w:pPr>
        <w:spacing w:line="360" w:lineRule="auto"/>
        <w:jc w:val="center"/>
        <w:rPr>
          <w:rFonts w:hint="eastAsia" w:ascii="仿宋" w:hAnsi="仿宋" w:eastAsia="仿宋" w:cs="仿宋"/>
          <w:b/>
          <w:color w:val="auto"/>
          <w:spacing w:val="6"/>
          <w:sz w:val="32"/>
          <w:szCs w:val="32"/>
        </w:rPr>
      </w:pPr>
      <w:bookmarkStart w:id="399" w:name="OLE_LINK13"/>
      <w:bookmarkStart w:id="400" w:name="OLE_LINK14"/>
      <w:r>
        <w:rPr>
          <w:rFonts w:hint="eastAsia" w:ascii="仿宋" w:hAnsi="仿宋" w:eastAsia="仿宋" w:cs="仿宋"/>
          <w:b/>
          <w:color w:val="auto"/>
          <w:spacing w:val="6"/>
          <w:sz w:val="32"/>
          <w:szCs w:val="32"/>
        </w:rPr>
        <w:t>残疾人福利性单位声明函</w:t>
      </w:r>
    </w:p>
    <w:bookmarkEnd w:id="399"/>
    <w:bookmarkEnd w:id="400"/>
    <w:p>
      <w:pPr>
        <w:spacing w:line="360" w:lineRule="auto"/>
        <w:rPr>
          <w:rFonts w:hint="eastAsia" w:ascii="仿宋" w:hAnsi="仿宋" w:eastAsia="仿宋" w:cs="仿宋"/>
          <w:b/>
          <w:color w:val="auto"/>
          <w:spacing w:val="6"/>
          <w:sz w:val="30"/>
          <w:szCs w:val="30"/>
        </w:rPr>
      </w:pP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color w:val="auto"/>
          <w:sz w:val="24"/>
          <w:u w:val="single"/>
          <w:lang w:val="en-US" w:eastAsia="zh-CN"/>
        </w:rPr>
        <w:t>淳安县两山生态资源经营开发有限公司</w:t>
      </w:r>
      <w:r>
        <w:rPr>
          <w:rFonts w:hint="eastAsia" w:ascii="仿宋" w:hAnsi="仿宋" w:eastAsia="仿宋" w:cs="仿宋"/>
          <w:color w:val="auto"/>
          <w:sz w:val="24"/>
        </w:rPr>
        <w:t>单位的</w:t>
      </w:r>
      <w:r>
        <w:rPr>
          <w:rFonts w:hint="eastAsia" w:ascii="仿宋" w:hAnsi="仿宋" w:eastAsia="仿宋" w:cs="仿宋"/>
          <w:color w:val="auto"/>
          <w:sz w:val="24"/>
          <w:u w:val="single"/>
          <w:lang w:eastAsia="zh-CN"/>
        </w:rPr>
        <w:t>两山公司一期（首批）项目建设支撑体系设备（5）巡护船（艇）采购项目</w:t>
      </w:r>
      <w:r>
        <w:rPr>
          <w:rFonts w:hint="eastAsia" w:ascii="仿宋" w:hAnsi="仿宋" w:eastAsia="仿宋" w:cs="仿宋"/>
          <w:color w:val="auto"/>
          <w:sz w:val="24"/>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tabs>
          <w:tab w:val="left" w:pos="4860"/>
        </w:tabs>
        <w:spacing w:line="360" w:lineRule="auto"/>
        <w:ind w:right="156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kern w:val="0"/>
          <w:sz w:val="24"/>
          <w:lang w:val="zh-CN"/>
        </w:rPr>
        <w:t>投标人名称（电子签名）</w:t>
      </w:r>
      <w:r>
        <w:rPr>
          <w:rFonts w:hint="eastAsia" w:ascii="仿宋" w:hAnsi="仿宋" w:eastAsia="仿宋" w:cs="仿宋"/>
          <w:color w:val="auto"/>
          <w:sz w:val="24"/>
        </w:rPr>
        <w:t>：</w:t>
      </w:r>
    </w:p>
    <w:p>
      <w:pPr>
        <w:tabs>
          <w:tab w:val="left" w:pos="4860"/>
        </w:tabs>
        <w:spacing w:line="360" w:lineRule="auto"/>
        <w:ind w:right="156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 xml:space="preserve">       日  期：</w:t>
      </w: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79"/>
        <w:rPr>
          <w:rFonts w:hint="eastAsia" w:ascii="仿宋" w:hAnsi="仿宋" w:eastAsia="仿宋" w:cs="仿宋"/>
          <w:color w:val="auto"/>
          <w:sz w:val="24"/>
        </w:r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sz w:val="32"/>
          <w:szCs w:val="32"/>
        </w:rPr>
      </w:pPr>
      <w:r>
        <w:rPr>
          <w:rFonts w:hint="eastAsia" w:ascii="仿宋" w:hAnsi="仿宋" w:eastAsia="仿宋" w:cs="仿宋"/>
          <w:color w:val="auto"/>
          <w:sz w:val="32"/>
          <w:szCs w:val="32"/>
        </w:rPr>
        <w:t>中小企业声明函</w:t>
      </w:r>
      <w:bookmarkStart w:id="401" w:name="_Hlk101259491"/>
      <w:r>
        <w:rPr>
          <w:rFonts w:hint="eastAsia" w:ascii="仿宋" w:hAnsi="仿宋" w:eastAsia="仿宋" w:cs="仿宋"/>
          <w:color w:val="auto"/>
          <w:sz w:val="32"/>
          <w:szCs w:val="32"/>
        </w:rPr>
        <w:t>（如果有）</w:t>
      </w:r>
      <w:bookmarkEnd w:id="401"/>
    </w:p>
    <w:p>
      <w:pPr>
        <w:widowControl/>
        <w:spacing w:line="360" w:lineRule="auto"/>
        <w:ind w:firstLine="361" w:firstLineChars="150"/>
        <w:jc w:val="left"/>
        <w:rPr>
          <w:rFonts w:hint="eastAsia" w:ascii="仿宋" w:hAnsi="仿宋" w:eastAsia="仿宋" w:cs="仿宋"/>
          <w:b/>
          <w:color w:val="auto"/>
          <w:sz w:val="24"/>
        </w:rPr>
      </w:pPr>
      <w:r>
        <w:rPr>
          <w:rFonts w:hint="eastAsia" w:ascii="仿宋" w:hAnsi="仿宋" w:eastAsia="仿宋" w:cs="仿宋"/>
          <w:b/>
          <w:color w:val="auto"/>
          <w:sz w:val="24"/>
        </w:rPr>
        <w:t>本项目或标项未预留份额专门面向中小企业</w:t>
      </w:r>
      <w:r>
        <w:rPr>
          <w:rFonts w:hint="eastAsia" w:ascii="仿宋" w:hAnsi="仿宋" w:eastAsia="仿宋" w:cs="仿宋"/>
          <w:b/>
          <w:color w:val="auto"/>
          <w:sz w:val="24"/>
          <w:lang w:eastAsia="zh-CN"/>
        </w:rPr>
        <w:t>。</w:t>
      </w:r>
      <w:r>
        <w:rPr>
          <w:rFonts w:hint="eastAsia" w:ascii="仿宋" w:hAnsi="仿宋" w:eastAsia="仿宋" w:cs="仿宋"/>
          <w:b/>
          <w:color w:val="auto"/>
          <w:sz w:val="24"/>
        </w:rPr>
        <w:t>符合《政府采购促进中小企业发展管理办法》规定的小微企业拟享受价格扣除政策的，需提供中小企业声明函（附件</w:t>
      </w:r>
      <w:r>
        <w:rPr>
          <w:rFonts w:hint="eastAsia" w:ascii="仿宋" w:hAnsi="仿宋" w:eastAsia="仿宋" w:cs="仿宋"/>
          <w:b/>
          <w:color w:val="auto"/>
          <w:sz w:val="24"/>
          <w:lang w:val="en-US" w:eastAsia="zh-CN"/>
        </w:rPr>
        <w:t>2</w:t>
      </w:r>
      <w:r>
        <w:rPr>
          <w:rFonts w:hint="eastAsia" w:ascii="仿宋" w:hAnsi="仿宋" w:eastAsia="仿宋" w:cs="仿宋"/>
          <w:b/>
          <w:color w:val="auto"/>
          <w:sz w:val="24"/>
        </w:rPr>
        <w:t>）。</w:t>
      </w:r>
    </w:p>
    <w:p>
      <w:pPr>
        <w:snapToGrid w:val="0"/>
        <w:spacing w:line="360" w:lineRule="auto"/>
        <w:outlineLvl w:val="0"/>
        <w:rPr>
          <w:rFonts w:hint="eastAsia" w:ascii="仿宋" w:hAnsi="仿宋" w:eastAsia="仿宋" w:cs="仿宋"/>
          <w:b/>
          <w:color w:val="auto"/>
          <w:kern w:val="0"/>
          <w:sz w:val="32"/>
          <w:szCs w:val="32"/>
        </w:rPr>
      </w:pPr>
    </w:p>
    <w:p>
      <w:pPr>
        <w:snapToGrid w:val="0"/>
        <w:spacing w:line="360" w:lineRule="auto"/>
        <w:outlineLvl w:val="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附件</w:t>
      </w:r>
      <w:r>
        <w:rPr>
          <w:rFonts w:hint="eastAsia" w:ascii="仿宋" w:hAnsi="仿宋" w:eastAsia="仿宋" w:cs="仿宋"/>
          <w:b/>
          <w:color w:val="auto"/>
          <w:kern w:val="0"/>
          <w:sz w:val="32"/>
          <w:szCs w:val="32"/>
          <w:lang w:val="en-US" w:eastAsia="zh-CN"/>
        </w:rPr>
        <w:t>2</w:t>
      </w:r>
      <w:r>
        <w:rPr>
          <w:rFonts w:hint="eastAsia" w:ascii="仿宋" w:hAnsi="仿宋" w:eastAsia="仿宋" w:cs="仿宋"/>
          <w:b/>
          <w:color w:val="auto"/>
          <w:kern w:val="0"/>
          <w:sz w:val="32"/>
          <w:szCs w:val="32"/>
        </w:rPr>
        <w:t>：中小企业声明函</w:t>
      </w:r>
    </w:p>
    <w:p>
      <w:pPr>
        <w:spacing w:line="360" w:lineRule="auto"/>
        <w:jc w:val="center"/>
        <w:rPr>
          <w:rFonts w:hint="eastAsia" w:ascii="仿宋" w:hAnsi="仿宋" w:eastAsia="仿宋" w:cs="仿宋"/>
          <w:color w:val="auto"/>
          <w:sz w:val="24"/>
          <w:u w:val="single"/>
        </w:rPr>
      </w:pPr>
    </w:p>
    <w:p>
      <w:pPr>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中小企业声明函（货物）</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本公司（联合体）郑重声明，根据《政府采购促进中小企业发展管理办法》（财库﹝2020﹞46 号）的规定，本公司为</w:t>
      </w:r>
      <w:r>
        <w:rPr>
          <w:rFonts w:hint="eastAsia" w:ascii="仿宋" w:hAnsi="仿宋" w:eastAsia="仿宋" w:cs="仿宋"/>
          <w:color w:val="auto"/>
          <w:sz w:val="24"/>
          <w:u w:val="single"/>
        </w:rPr>
        <w:t xml:space="preserve">                </w:t>
      </w:r>
      <w:r>
        <w:rPr>
          <w:rFonts w:hint="eastAsia" w:ascii="仿宋" w:hAnsi="仿宋" w:eastAsia="仿宋" w:cs="仿宋"/>
          <w:color w:val="auto"/>
          <w:sz w:val="24"/>
        </w:rPr>
        <w:t>（请填写：中型、小型、微型）企业。</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本公司（联合体）参加</w:t>
      </w:r>
      <w:r>
        <w:rPr>
          <w:rFonts w:hint="eastAsia" w:ascii="仿宋" w:hAnsi="仿宋" w:eastAsia="仿宋" w:cs="仿宋"/>
          <w:color w:val="auto"/>
          <w:sz w:val="24"/>
          <w:u w:val="single"/>
        </w:rPr>
        <w:t xml:space="preserve"> 淳安县</w:t>
      </w:r>
      <w:r>
        <w:rPr>
          <w:rFonts w:hint="eastAsia" w:ascii="仿宋" w:hAnsi="仿宋" w:eastAsia="仿宋" w:cs="仿宋"/>
          <w:color w:val="auto"/>
          <w:sz w:val="24"/>
          <w:u w:val="single"/>
          <w:lang w:val="en-US" w:eastAsia="zh-CN"/>
        </w:rPr>
        <w:t>XXXXX公司</w:t>
      </w:r>
      <w:r>
        <w:rPr>
          <w:rFonts w:hint="eastAsia" w:ascii="仿宋" w:hAnsi="仿宋" w:eastAsia="仿宋" w:cs="仿宋"/>
          <w:color w:val="auto"/>
          <w:sz w:val="24"/>
        </w:rPr>
        <w:t xml:space="preserve">的 </w:t>
      </w:r>
      <w:r>
        <w:rPr>
          <w:rFonts w:hint="eastAsia" w:ascii="仿宋" w:hAnsi="仿宋" w:eastAsia="仿宋" w:cs="仿宋"/>
          <w:color w:val="auto"/>
          <w:sz w:val="24"/>
          <w:u w:val="single"/>
          <w:lang w:val="en-US" w:eastAsia="zh-CN"/>
        </w:rPr>
        <w:t xml:space="preserve"> XXXXXXX</w:t>
      </w:r>
      <w:r>
        <w:rPr>
          <w:rFonts w:hint="eastAsia" w:ascii="仿宋" w:hAnsi="仿宋" w:eastAsia="仿宋" w:cs="仿宋"/>
          <w:color w:val="auto"/>
          <w:sz w:val="24"/>
          <w:u w:val="single"/>
        </w:rPr>
        <w:t>采购项目</w:t>
      </w:r>
      <w:r>
        <w:rPr>
          <w:rFonts w:hint="eastAsia" w:ascii="仿宋" w:hAnsi="仿宋" w:eastAsia="仿宋" w:cs="仿宋"/>
          <w:color w:val="auto"/>
          <w:sz w:val="24"/>
        </w:rPr>
        <w:t xml:space="preserve"> 采购活动，提供的货物全部由符合政策要求的中小企业制造。相关企业（含联合体中的中小企业、签订分包意向协议的中小企业）的具体情况如下：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 xml:space="preserve">1.  </w:t>
      </w:r>
      <w:r>
        <w:rPr>
          <w:rFonts w:hint="eastAsia" w:ascii="仿宋" w:hAnsi="仿宋" w:eastAsia="仿宋" w:cs="仿宋"/>
          <w:color w:val="auto"/>
          <w:sz w:val="24"/>
          <w:u w:val="single"/>
          <w:lang w:val="en-US" w:eastAsia="zh-CN"/>
        </w:rPr>
        <w:t>17.8m巡护船</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工业</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10.56m巡护艇</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工业</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3</w:t>
      </w:r>
      <w:r>
        <w:rPr>
          <w:rFonts w:hint="eastAsia" w:ascii="仿宋" w:hAnsi="仿宋" w:eastAsia="仿宋" w:cs="仿宋"/>
          <w:color w:val="auto"/>
          <w:sz w:val="24"/>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7.68m巡护艇</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工业</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auto"/>
          <w:kern w:val="0"/>
          <w:sz w:val="24"/>
        </w:rPr>
      </w:pPr>
      <w:r>
        <w:rPr>
          <w:rFonts w:hint="eastAsia" w:ascii="仿宋" w:hAnsi="仿宋" w:eastAsia="仿宋" w:cs="仿宋"/>
          <w:color w:val="auto"/>
          <w:kern w:val="0"/>
          <w:sz w:val="24"/>
          <w:lang w:val="zh-CN"/>
        </w:rPr>
        <w:t>投标人名称(电子签名)：</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w:t>
      </w:r>
      <w:r>
        <w:rPr>
          <w:rFonts w:hint="eastAsia" w:ascii="仿宋" w:hAnsi="仿宋" w:eastAsia="仿宋" w:cs="仿宋"/>
          <w:color w:val="auto"/>
          <w:kern w:val="0"/>
          <w:sz w:val="24"/>
        </w:rPr>
        <w:t xml:space="preserve">：  年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w:t>
      </w:r>
    </w:p>
    <w:p>
      <w:pPr>
        <w:spacing w:line="360" w:lineRule="auto"/>
        <w:jc w:val="left"/>
        <w:rPr>
          <w:rFonts w:hint="eastAsia" w:ascii="仿宋" w:hAnsi="仿宋" w:eastAsia="仿宋" w:cs="仿宋"/>
          <w:color w:val="auto"/>
          <w:sz w:val="18"/>
          <w:szCs w:val="18"/>
        </w:rPr>
      </w:pPr>
      <w:r>
        <w:rPr>
          <w:rFonts w:hint="eastAsia" w:ascii="仿宋" w:hAnsi="仿宋" w:eastAsia="仿宋" w:cs="仿宋"/>
          <w:color w:val="auto"/>
          <w:sz w:val="18"/>
          <w:szCs w:val="18"/>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auto"/>
          <w:sz w:val="24"/>
        </w:rPr>
      </w:pPr>
      <w:r>
        <w:rPr>
          <w:rFonts w:hint="eastAsia" w:ascii="仿宋" w:hAnsi="仿宋" w:eastAsia="仿宋" w:cs="仿宋"/>
          <w:color w:val="auto"/>
          <w:sz w:val="24"/>
        </w:rPr>
        <w:t>注：</w:t>
      </w:r>
    </w:p>
    <w:p>
      <w:pPr>
        <w:spacing w:line="360" w:lineRule="auto"/>
        <w:ind w:right="420" w:firstLine="480" w:firstLineChars="200"/>
        <w:rPr>
          <w:rFonts w:hint="eastAsia" w:ascii="仿宋" w:hAnsi="仿宋" w:eastAsia="仿宋" w:cs="仿宋"/>
          <w:color w:val="auto"/>
          <w:sz w:val="24"/>
        </w:rPr>
      </w:pPr>
      <w:r>
        <w:rPr>
          <w:rFonts w:hint="eastAsia" w:ascii="仿宋" w:hAnsi="仿宋" w:eastAsia="仿宋" w:cs="仿宋"/>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hint="eastAsia" w:ascii="仿宋" w:hAnsi="仿宋" w:eastAsia="仿宋" w:cs="仿宋"/>
          <w:color w:val="auto"/>
          <w:sz w:val="24"/>
        </w:rPr>
      </w:pPr>
      <w:r>
        <w:rPr>
          <w:rFonts w:hint="eastAsia" w:ascii="仿宋" w:hAnsi="仿宋" w:eastAsia="仿宋" w:cs="仿宋"/>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adjustRightInd/>
        <w:jc w:val="left"/>
        <w:rPr>
          <w:rFonts w:hint="eastAsia" w:ascii="仿宋" w:hAnsi="仿宋" w:eastAsia="仿宋" w:cs="仿宋"/>
          <w:b/>
          <w:color w:val="auto"/>
          <w:kern w:val="0"/>
          <w:sz w:val="32"/>
          <w:szCs w:val="32"/>
        </w:rPr>
      </w:pPr>
    </w:p>
    <w:p>
      <w:pPr>
        <w:spacing w:line="360" w:lineRule="auto"/>
        <w:ind w:firstLine="480" w:firstLineChars="200"/>
        <w:rPr>
          <w:rFonts w:hint="eastAsia" w:ascii="仿宋" w:hAnsi="仿宋" w:eastAsia="仿宋" w:cs="仿宋"/>
          <w:color w:val="auto"/>
          <w:sz w:val="24"/>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pStyle w:val="79"/>
        <w:rPr>
          <w:rFonts w:hint="eastAsia" w:ascii="仿宋" w:hAnsi="仿宋" w:eastAsia="仿宋" w:cs="仿宋"/>
          <w:b/>
          <w:color w:val="auto"/>
          <w:sz w:val="24"/>
        </w:rPr>
      </w:pPr>
    </w:p>
    <w:p>
      <w:pPr>
        <w:pStyle w:val="79"/>
        <w:rPr>
          <w:rFonts w:hint="eastAsia" w:ascii="仿宋" w:hAnsi="仿宋" w:eastAsia="仿宋" w:cs="仿宋"/>
          <w:b/>
          <w:color w:val="auto"/>
          <w:sz w:val="24"/>
        </w:rPr>
      </w:pPr>
    </w:p>
    <w:p>
      <w:pPr>
        <w:pStyle w:val="79"/>
        <w:rPr>
          <w:rFonts w:hint="eastAsia" w:ascii="仿宋" w:hAnsi="仿宋" w:eastAsia="仿宋" w:cs="仿宋"/>
          <w:b/>
          <w:color w:val="auto"/>
          <w:sz w:val="24"/>
        </w:rPr>
      </w:pPr>
    </w:p>
    <w:p>
      <w:pPr>
        <w:pStyle w:val="79"/>
        <w:rPr>
          <w:rFonts w:hint="eastAsia" w:ascii="仿宋" w:hAnsi="仿宋" w:eastAsia="仿宋" w:cs="仿宋"/>
          <w:b/>
          <w:color w:val="auto"/>
          <w:sz w:val="24"/>
        </w:rPr>
      </w:pPr>
    </w:p>
    <w:p>
      <w:pPr>
        <w:pStyle w:val="79"/>
        <w:rPr>
          <w:rFonts w:hint="eastAsia" w:ascii="仿宋" w:hAnsi="仿宋" w:eastAsia="仿宋" w:cs="仿宋"/>
          <w:b/>
          <w:color w:val="auto"/>
          <w:sz w:val="24"/>
        </w:rPr>
      </w:pPr>
    </w:p>
    <w:p>
      <w:pPr>
        <w:pStyle w:val="79"/>
        <w:rPr>
          <w:rFonts w:hint="eastAsia" w:ascii="仿宋" w:hAnsi="仿宋" w:eastAsia="仿宋" w:cs="仿宋"/>
          <w:b/>
          <w:color w:val="auto"/>
          <w:sz w:val="24"/>
        </w:rPr>
      </w:pPr>
    </w:p>
    <w:p>
      <w:pPr>
        <w:pStyle w:val="79"/>
        <w:rPr>
          <w:rFonts w:hint="eastAsia" w:ascii="仿宋" w:hAnsi="仿宋" w:eastAsia="仿宋" w:cs="仿宋"/>
          <w:b/>
          <w:color w:val="auto"/>
          <w:sz w:val="24"/>
        </w:rPr>
      </w:pPr>
    </w:p>
    <w:p>
      <w:pPr>
        <w:pStyle w:val="79"/>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jc w:val="left"/>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w:t>
      </w:r>
      <w:r>
        <w:rPr>
          <w:rFonts w:hint="eastAsia" w:ascii="仿宋" w:hAnsi="仿宋" w:eastAsia="仿宋" w:cs="仿宋"/>
          <w:b/>
          <w:color w:val="auto"/>
          <w:spacing w:val="6"/>
          <w:sz w:val="32"/>
          <w:szCs w:val="32"/>
          <w:lang w:val="en-US" w:eastAsia="zh-CN"/>
        </w:rPr>
        <w:t>3</w:t>
      </w:r>
      <w:r>
        <w:rPr>
          <w:rFonts w:hint="eastAsia" w:ascii="仿宋" w:hAnsi="仿宋" w:eastAsia="仿宋" w:cs="仿宋"/>
          <w:b/>
          <w:color w:val="auto"/>
          <w:spacing w:val="6"/>
          <w:sz w:val="32"/>
          <w:szCs w:val="32"/>
        </w:rPr>
        <w:t>：质疑函范本及制作说明</w:t>
      </w:r>
    </w:p>
    <w:p>
      <w:pPr>
        <w:spacing w:line="360" w:lineRule="auto"/>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质疑函范本</w:t>
      </w:r>
    </w:p>
    <w:p>
      <w:pPr>
        <w:snapToGrid w:val="0"/>
        <w:spacing w:beforeLines="100" w:line="360" w:lineRule="auto"/>
        <w:rPr>
          <w:rFonts w:hint="eastAsia" w:ascii="仿宋" w:hAnsi="仿宋" w:eastAsia="仿宋" w:cs="仿宋"/>
          <w:bCs/>
          <w:color w:val="auto"/>
          <w:sz w:val="24"/>
        </w:rPr>
      </w:pPr>
      <w:r>
        <w:rPr>
          <w:rFonts w:hint="eastAsia" w:ascii="仿宋" w:hAnsi="仿宋" w:eastAsia="仿宋" w:cs="仿宋"/>
          <w:bCs/>
          <w:color w:val="auto"/>
          <w:sz w:val="24"/>
        </w:rPr>
        <w:t>一、质疑供应商基本信息</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质疑供应商：</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地址：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地址： </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二、质疑项目基本情况</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质疑项目的名称：</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质疑项目的编号：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采购文件获取日期：</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三、质疑事项具体内容</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质疑事项1：</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质疑事项2</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四、与质疑事项相关的质疑请求</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jc w:val="center"/>
        <w:rPr>
          <w:rFonts w:hint="eastAsia" w:ascii="仿宋" w:hAnsi="仿宋" w:eastAsia="仿宋" w:cs="仿宋"/>
          <w:b/>
          <w:bCs/>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质疑函制作说明：</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2.质疑供应商若委托代理人进行质疑的，质疑函应按要求列明“授权代表”的有关内容，并在附件中提交由质疑</w:t>
      </w:r>
      <w:r>
        <w:rPr>
          <w:rFonts w:hint="eastAsia" w:ascii="仿宋" w:hAnsi="仿宋" w:eastAsia="仿宋" w:cs="仿宋"/>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5.质疑函的质疑请求应与质疑事项相关。</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w:t>
      </w:r>
      <w:r>
        <w:rPr>
          <w:rFonts w:hint="eastAsia" w:ascii="仿宋" w:hAnsi="仿宋" w:eastAsia="仿宋" w:cs="仿宋"/>
          <w:b/>
          <w:color w:val="auto"/>
          <w:spacing w:val="6"/>
          <w:sz w:val="32"/>
          <w:szCs w:val="32"/>
          <w:lang w:val="en-US" w:eastAsia="zh-CN"/>
        </w:rPr>
        <w:t>4</w:t>
      </w:r>
      <w:r>
        <w:rPr>
          <w:rFonts w:hint="eastAsia" w:ascii="仿宋" w:hAnsi="仿宋" w:eastAsia="仿宋" w:cs="仿宋"/>
          <w:b/>
          <w:color w:val="auto"/>
          <w:spacing w:val="6"/>
          <w:sz w:val="32"/>
          <w:szCs w:val="32"/>
        </w:rPr>
        <w:t>：投诉书范本及制作说明</w:t>
      </w:r>
    </w:p>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投诉书范本</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一、投诉相关主体基本情况</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投诉人：</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tabs>
          <w:tab w:val="left" w:pos="6510"/>
        </w:tabs>
        <w:spacing w:line="360" w:lineRule="auto"/>
        <w:jc w:val="left"/>
        <w:rPr>
          <w:rFonts w:hint="eastAsia" w:ascii="仿宋" w:hAnsi="仿宋" w:eastAsia="仿宋" w:cs="仿宋"/>
          <w:color w:val="auto"/>
          <w:sz w:val="24"/>
        </w:rPr>
      </w:pPr>
      <w:r>
        <w:rPr>
          <w:rFonts w:hint="eastAsia" w:ascii="仿宋" w:hAnsi="仿宋" w:eastAsia="仿宋" w:cs="仿宋"/>
          <w:color w:val="auto"/>
          <w:sz w:val="24"/>
        </w:rPr>
        <w:t>法定代表人/主要负责人：</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tabs>
          <w:tab w:val="left" w:pos="6510"/>
        </w:tabs>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被投诉人1：</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被投诉人2</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相关供应商：</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二、投诉项目基本情况</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采购项目名称：</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采购项目编号：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代理机构名称：</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采购文件公告: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采购结果公告: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三、质疑基本情况</w:t>
      </w:r>
    </w:p>
    <w:p>
      <w:pPr>
        <w:spacing w:line="360" w:lineRule="auto"/>
        <w:ind w:firstLine="480" w:firstLineChars="200"/>
        <w:rPr>
          <w:rFonts w:hint="eastAsia" w:ascii="仿宋" w:hAnsi="仿宋" w:eastAsia="仿宋" w:cs="仿宋"/>
          <w:color w:val="auto"/>
          <w:sz w:val="24"/>
          <w:u w:val="dotted"/>
        </w:rPr>
      </w:pPr>
      <w:r>
        <w:rPr>
          <w:rFonts w:hint="eastAsia" w:ascii="仿宋" w:hAnsi="仿宋" w:eastAsia="仿宋" w:cs="仿宋"/>
          <w:color w:val="auto"/>
          <w:sz w:val="24"/>
        </w:rPr>
        <w:t>投诉人于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日,向</w:t>
      </w:r>
      <w:r>
        <w:rPr>
          <w:rFonts w:hint="eastAsia" w:ascii="仿宋" w:hAnsi="仿宋" w:eastAsia="仿宋" w:cs="仿宋"/>
          <w:color w:val="auto"/>
          <w:sz w:val="24"/>
          <w:u w:val="dotted"/>
        </w:rPr>
        <w:t xml:space="preserve">                   </w:t>
      </w:r>
      <w:r>
        <w:rPr>
          <w:rFonts w:hint="eastAsia" w:ascii="仿宋" w:hAnsi="仿宋" w:eastAsia="仿宋" w:cs="仿宋"/>
          <w:color w:val="auto"/>
          <w:sz w:val="24"/>
        </w:rPr>
        <w:t>提出质疑，质疑事项为：</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u w:val="dotted"/>
        </w:rPr>
        <w:t>采购人/代理机构</w:t>
      </w:r>
      <w:r>
        <w:rPr>
          <w:rFonts w:hint="eastAsia" w:ascii="仿宋" w:hAnsi="仿宋" w:eastAsia="仿宋" w:cs="仿宋"/>
          <w:color w:val="auto"/>
          <w:sz w:val="24"/>
        </w:rPr>
        <w:t>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日,就质疑事项作出了答复/没有在法定期限内作出答复。</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四、投诉事项具体内容</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投诉事项 1：</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投诉事项2</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五、与投诉事项相关的投诉请求</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投诉书制作说明：</w:t>
      </w:r>
    </w:p>
    <w:p>
      <w:pPr>
        <w:widowControl/>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rPr>
        <w:t>2.投诉人若委托代理人进行投诉的，投诉书应按照要求列明“授权代表”的有关内容，并在附件中提交由</w:t>
      </w:r>
      <w:r>
        <w:rPr>
          <w:rFonts w:hint="eastAsia" w:ascii="仿宋" w:hAnsi="仿宋" w:eastAsia="仿宋" w:cs="仿宋"/>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bCs/>
          <w:color w:val="auto"/>
          <w:sz w:val="32"/>
          <w:szCs w:val="32"/>
        </w:rPr>
      </w:pPr>
      <w:r>
        <w:rPr>
          <w:rFonts w:hint="eastAsia" w:ascii="仿宋" w:hAnsi="仿宋" w:eastAsia="仿宋" w:cs="仿宋"/>
          <w:b/>
          <w:color w:val="auto"/>
          <w:spacing w:val="6"/>
          <w:sz w:val="32"/>
          <w:szCs w:val="32"/>
        </w:rPr>
        <w:t>附件</w:t>
      </w:r>
      <w:r>
        <w:rPr>
          <w:rFonts w:hint="eastAsia" w:ascii="仿宋" w:hAnsi="仿宋" w:eastAsia="仿宋" w:cs="仿宋"/>
          <w:b/>
          <w:color w:val="auto"/>
          <w:spacing w:val="6"/>
          <w:sz w:val="32"/>
          <w:szCs w:val="32"/>
          <w:lang w:val="en-US" w:eastAsia="zh-CN"/>
        </w:rPr>
        <w:t>5</w:t>
      </w:r>
      <w:r>
        <w:rPr>
          <w:rFonts w:hint="eastAsia" w:ascii="仿宋" w:hAnsi="仿宋" w:eastAsia="仿宋" w:cs="仿宋"/>
          <w:b/>
          <w:color w:val="auto"/>
          <w:spacing w:val="6"/>
          <w:sz w:val="32"/>
          <w:szCs w:val="32"/>
        </w:rPr>
        <w:t>：</w:t>
      </w:r>
      <w:r>
        <w:rPr>
          <w:rFonts w:hint="eastAsia" w:ascii="仿宋" w:hAnsi="仿宋" w:eastAsia="仿宋" w:cs="仿宋"/>
          <w:b/>
          <w:bCs/>
          <w:color w:val="auto"/>
          <w:sz w:val="32"/>
          <w:szCs w:val="32"/>
        </w:rPr>
        <w:t>业务专用章使用说明函</w:t>
      </w:r>
    </w:p>
    <w:p>
      <w:pPr>
        <w:spacing w:line="360" w:lineRule="auto"/>
        <w:rPr>
          <w:rFonts w:hint="eastAsia" w:ascii="仿宋" w:hAnsi="仿宋" w:eastAsia="仿宋" w:cs="仿宋"/>
          <w:color w:val="auto"/>
          <w:sz w:val="24"/>
          <w:u w:val="single"/>
        </w:rPr>
      </w:pP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lang w:val="en-US" w:eastAsia="zh-CN"/>
        </w:rPr>
        <w:t>淳安县两山生态资源经营开发有限公司</w:t>
      </w:r>
      <w:r>
        <w:rPr>
          <w:rFonts w:hint="eastAsia" w:ascii="仿宋" w:hAnsi="仿宋" w:eastAsia="仿宋" w:cs="仿宋"/>
          <w:color w:val="auto"/>
          <w:sz w:val="24"/>
        </w:rPr>
        <w:t>、东方经纬项目管理有限公司：</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我方</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sz w:val="24"/>
        </w:rPr>
        <w:t>(投标人全称)是中华人民共和国依法登记注册的合法企业，</w:t>
      </w:r>
      <w:r>
        <w:rPr>
          <w:rFonts w:hint="eastAsia" w:ascii="仿宋" w:hAnsi="仿宋" w:eastAsia="仿宋" w:cs="仿宋"/>
          <w:bCs/>
          <w:color w:val="auto"/>
          <w:sz w:val="24"/>
        </w:rPr>
        <w:t>在参加</w:t>
      </w:r>
      <w:r>
        <w:rPr>
          <w:rFonts w:hint="eastAsia" w:ascii="仿宋" w:hAnsi="仿宋" w:eastAsia="仿宋" w:cs="仿宋"/>
          <w:color w:val="auto"/>
          <w:sz w:val="24"/>
        </w:rPr>
        <w:t>你方组织的</w:t>
      </w:r>
      <w:r>
        <w:rPr>
          <w:rFonts w:hint="eastAsia" w:ascii="仿宋" w:hAnsi="仿宋" w:eastAsia="仿宋" w:cs="仿宋"/>
          <w:color w:val="auto"/>
          <w:sz w:val="24"/>
          <w:u w:val="single"/>
          <w:lang w:eastAsia="zh-CN"/>
        </w:rPr>
        <w:t>两山公司一期（首批）项目建设支撑体系设备（5）巡护船（艇）采购项目</w:t>
      </w:r>
      <w:r>
        <w:rPr>
          <w:rFonts w:hint="eastAsia" w:ascii="仿宋" w:hAnsi="仿宋" w:eastAsia="仿宋" w:cs="仿宋"/>
          <w:color w:val="auto"/>
          <w:sz w:val="24"/>
        </w:rPr>
        <w:t>【招标编号：</w:t>
      </w:r>
      <w:r>
        <w:rPr>
          <w:rFonts w:hint="eastAsia" w:ascii="仿宋" w:hAnsi="仿宋" w:eastAsia="仿宋" w:cs="仿宋"/>
          <w:color w:val="auto"/>
          <w:sz w:val="24"/>
          <w:lang w:eastAsia="zh-CN"/>
        </w:rPr>
        <w:t>DFJW2023-CA-0</w:t>
      </w:r>
      <w:r>
        <w:rPr>
          <w:rFonts w:hint="eastAsia" w:ascii="仿宋" w:hAnsi="仿宋" w:eastAsia="仿宋" w:cs="仿宋"/>
          <w:color w:val="auto"/>
          <w:sz w:val="24"/>
          <w:lang w:val="en-US" w:eastAsia="zh-CN"/>
        </w:rPr>
        <w:t>20</w:t>
      </w:r>
      <w:r>
        <w:rPr>
          <w:rFonts w:hint="eastAsia" w:ascii="仿宋" w:hAnsi="仿宋" w:eastAsia="仿宋" w:cs="仿宋"/>
          <w:color w:val="auto"/>
          <w:sz w:val="24"/>
          <w:lang w:eastAsia="zh-CN"/>
        </w:rPr>
        <w:t>号</w:t>
      </w:r>
      <w:r>
        <w:rPr>
          <w:rFonts w:hint="eastAsia" w:ascii="仿宋" w:hAnsi="仿宋" w:eastAsia="仿宋" w:cs="仿宋"/>
          <w:color w:val="auto"/>
          <w:sz w:val="24"/>
        </w:rPr>
        <w:t>】</w:t>
      </w:r>
      <w:r>
        <w:rPr>
          <w:rFonts w:hint="eastAsia" w:ascii="仿宋" w:hAnsi="仿宋" w:eastAsia="仿宋" w:cs="仿宋"/>
          <w:bCs/>
          <w:color w:val="auto"/>
          <w:sz w:val="24"/>
        </w:rPr>
        <w:t>投标活动中作如下说明：</w:t>
      </w:r>
      <w:r>
        <w:rPr>
          <w:rFonts w:hint="eastAsia" w:ascii="仿宋" w:hAnsi="仿宋" w:eastAsia="仿宋" w:cs="仿宋"/>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特此说明。</w:t>
      </w: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right="480" w:firstLine="4080" w:firstLineChars="1700"/>
        <w:rPr>
          <w:rFonts w:hint="eastAsia" w:ascii="仿宋" w:hAnsi="仿宋" w:eastAsia="仿宋" w:cs="仿宋"/>
          <w:color w:val="auto"/>
          <w:sz w:val="24"/>
        </w:rPr>
      </w:pPr>
      <w:r>
        <w:rPr>
          <w:rFonts w:hint="eastAsia" w:ascii="仿宋" w:hAnsi="仿宋" w:eastAsia="仿宋" w:cs="仿宋"/>
          <w:color w:val="auto"/>
          <w:sz w:val="24"/>
        </w:rPr>
        <w:t>投标单位（法定名称章）：</w:t>
      </w:r>
    </w:p>
    <w:p>
      <w:pPr>
        <w:ind w:right="1440" w:firstLine="494"/>
        <w:jc w:val="center"/>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rPr>
          <w:rFonts w:hint="eastAsia" w:ascii="仿宋" w:hAnsi="仿宋" w:eastAsia="仿宋" w:cs="仿宋"/>
          <w:color w:val="auto"/>
          <w:sz w:val="24"/>
        </w:rPr>
      </w:pPr>
      <w:r>
        <w:rPr>
          <w:rFonts w:hint="eastAsia" w:ascii="仿宋" w:hAnsi="仿宋" w:eastAsia="仿宋" w:cs="仿宋"/>
          <w:b/>
          <w:bCs/>
          <w:color w:val="auto"/>
          <w:sz w:val="24"/>
        </w:rPr>
        <w:t>附：</w:t>
      </w:r>
    </w:p>
    <w:p>
      <w:pPr>
        <w:spacing w:line="360" w:lineRule="auto"/>
        <w:rPr>
          <w:rFonts w:hint="eastAsia" w:ascii="仿宋" w:hAnsi="仿宋" w:eastAsia="仿宋" w:cs="仿宋"/>
          <w:bCs/>
          <w:color w:val="auto"/>
          <w:sz w:val="24"/>
        </w:rPr>
      </w:pPr>
      <w:r>
        <w:rPr>
          <w:rFonts w:hint="eastAsia" w:ascii="仿宋" w:hAnsi="仿宋" w:eastAsia="仿宋" w:cs="仿宋"/>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0" t="0" r="0" b="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0" t="0" r="0" b="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eastAsia="仿宋" w:cs="仿宋"/>
          <w:color w:val="auto"/>
          <w:sz w:val="24"/>
        </w:rPr>
        <w:t>投标单位法定名称章（印模）                投标单位“XX专用章”（印模）</w:t>
      </w: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rPr>
          <w:rFonts w:hint="eastAsia" w:ascii="仿宋" w:hAnsi="仿宋" w:eastAsia="仿宋" w:cs="仿宋"/>
          <w:b/>
          <w:color w:val="auto"/>
          <w:spacing w:val="6"/>
          <w:sz w:val="32"/>
          <w:szCs w:val="32"/>
        </w:rPr>
      </w:pPr>
    </w:p>
    <w:p>
      <w:pPr>
        <w:pStyle w:val="6"/>
        <w:rPr>
          <w:rFonts w:hint="eastAsia" w:ascii="仿宋" w:hAnsi="仿宋" w:eastAsia="仿宋" w:cs="仿宋"/>
          <w:color w:val="auto"/>
        </w:rPr>
      </w:pPr>
    </w:p>
    <w:p>
      <w:pPr>
        <w:snapToGrid w:val="0"/>
        <w:spacing w:line="360" w:lineRule="auto"/>
        <w:jc w:val="center"/>
        <w:outlineLvl w:val="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附件</w:t>
      </w:r>
      <w:r>
        <w:rPr>
          <w:rFonts w:hint="eastAsia" w:ascii="仿宋" w:hAnsi="仿宋" w:eastAsia="仿宋" w:cs="仿宋"/>
          <w:b/>
          <w:color w:val="auto"/>
          <w:kern w:val="0"/>
          <w:sz w:val="32"/>
          <w:szCs w:val="32"/>
          <w:lang w:val="en-US" w:eastAsia="zh-CN"/>
        </w:rPr>
        <w:t>6</w:t>
      </w:r>
      <w:r>
        <w:rPr>
          <w:rFonts w:hint="eastAsia" w:ascii="仿宋" w:hAnsi="仿宋" w:eastAsia="仿宋" w:cs="仿宋"/>
          <w:b/>
          <w:color w:val="auto"/>
          <w:kern w:val="0"/>
          <w:sz w:val="32"/>
          <w:szCs w:val="32"/>
        </w:rPr>
        <w:t>：联合协议</w:t>
      </w:r>
    </w:p>
    <w:p>
      <w:pPr>
        <w:widowControl/>
        <w:spacing w:line="360"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（联合体所有成员名称）</w:t>
      </w:r>
      <w:r>
        <w:rPr>
          <w:rFonts w:hint="eastAsia" w:ascii="仿宋" w:hAnsi="仿宋" w:eastAsia="仿宋" w:cs="仿宋"/>
          <w:color w:val="auto"/>
          <w:kern w:val="0"/>
          <w:sz w:val="24"/>
        </w:rPr>
        <w:t>自愿</w:t>
      </w:r>
      <w:r>
        <w:rPr>
          <w:rFonts w:hint="eastAsia" w:ascii="仿宋" w:hAnsi="仿宋" w:eastAsia="仿宋" w:cs="仿宋"/>
          <w:color w:val="auto"/>
          <w:kern w:val="0"/>
          <w:sz w:val="24"/>
          <w:lang w:val="zh-CN"/>
        </w:rPr>
        <w:t>组成一个联合体，以一个投标人的身份</w:t>
      </w:r>
      <w:r>
        <w:rPr>
          <w:rFonts w:hint="eastAsia" w:ascii="仿宋" w:hAnsi="仿宋" w:eastAsia="仿宋" w:cs="仿宋"/>
          <w:color w:val="auto"/>
          <w:kern w:val="0"/>
          <w:sz w:val="24"/>
        </w:rPr>
        <w:t>参加</w:t>
      </w:r>
      <w:r>
        <w:rPr>
          <w:rFonts w:hint="eastAsia" w:ascii="仿宋" w:hAnsi="仿宋" w:eastAsia="仿宋" w:cs="仿宋"/>
          <w:color w:val="auto"/>
          <w:sz w:val="24"/>
          <w:u w:val="single"/>
          <w:lang w:eastAsia="zh-CN"/>
        </w:rPr>
        <w:t>两山公司一期（首批）项目建设支撑体系设备（5）巡护船（艇）采购项目</w:t>
      </w:r>
      <w:r>
        <w:rPr>
          <w:rFonts w:hint="eastAsia" w:ascii="仿宋" w:hAnsi="仿宋" w:eastAsia="仿宋" w:cs="仿宋"/>
          <w:color w:val="auto"/>
          <w:sz w:val="24"/>
        </w:rPr>
        <w:t>【招标编号：</w:t>
      </w:r>
      <w:r>
        <w:rPr>
          <w:rFonts w:hint="eastAsia" w:ascii="仿宋" w:hAnsi="仿宋" w:eastAsia="仿宋" w:cs="仿宋"/>
          <w:color w:val="auto"/>
          <w:sz w:val="24"/>
          <w:lang w:eastAsia="zh-CN"/>
        </w:rPr>
        <w:t>DFJW2023-CA-0</w:t>
      </w:r>
      <w:r>
        <w:rPr>
          <w:rFonts w:hint="eastAsia" w:ascii="仿宋" w:hAnsi="仿宋" w:eastAsia="仿宋" w:cs="仿宋"/>
          <w:color w:val="auto"/>
          <w:sz w:val="24"/>
          <w:lang w:val="en-US" w:eastAsia="zh-CN"/>
        </w:rPr>
        <w:t>20</w:t>
      </w:r>
      <w:r>
        <w:rPr>
          <w:rFonts w:hint="eastAsia" w:ascii="仿宋" w:hAnsi="仿宋" w:eastAsia="仿宋" w:cs="仿宋"/>
          <w:color w:val="auto"/>
          <w:sz w:val="24"/>
          <w:lang w:eastAsia="zh-CN"/>
        </w:rPr>
        <w:t>号</w:t>
      </w:r>
      <w:r>
        <w:rPr>
          <w:rFonts w:hint="eastAsia" w:ascii="仿宋" w:hAnsi="仿宋" w:eastAsia="仿宋" w:cs="仿宋"/>
          <w:color w:val="auto"/>
          <w:sz w:val="24"/>
        </w:rPr>
        <w:t>】</w:t>
      </w:r>
      <w:r>
        <w:rPr>
          <w:rFonts w:hint="eastAsia" w:ascii="仿宋" w:hAnsi="仿宋" w:eastAsia="仿宋" w:cs="仿宋"/>
          <w:color w:val="auto"/>
          <w:kern w:val="0"/>
          <w:sz w:val="24"/>
          <w:lang w:val="zh-CN"/>
        </w:rPr>
        <w:t xml:space="preserve">投标。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一、各方一致决定，</w:t>
      </w:r>
      <w:r>
        <w:rPr>
          <w:rFonts w:hint="eastAsia" w:ascii="仿宋" w:hAnsi="仿宋" w:eastAsia="仿宋" w:cs="仿宋"/>
          <w:color w:val="auto"/>
          <w:kern w:val="0"/>
          <w:sz w:val="24"/>
          <w:u w:val="single"/>
        </w:rPr>
        <w:t>（某联合体成员名称）</w:t>
      </w:r>
      <w:r>
        <w:rPr>
          <w:rFonts w:hint="eastAsia" w:ascii="仿宋" w:hAnsi="仿宋" w:eastAsia="仿宋" w:cs="仿宋"/>
          <w:color w:val="auto"/>
          <w:kern w:val="0"/>
          <w:sz w:val="24"/>
        </w:rPr>
        <w:t>为联合体</w:t>
      </w:r>
      <w:r>
        <w:rPr>
          <w:rFonts w:hint="eastAsia" w:ascii="仿宋" w:hAnsi="仿宋" w:eastAsia="仿宋" w:cs="仿宋"/>
          <w:color w:val="auto"/>
          <w:kern w:val="0"/>
          <w:sz w:val="24"/>
          <w:lang w:val="zh-CN"/>
        </w:rPr>
        <w:t>牵头人</w:t>
      </w:r>
      <w:r>
        <w:rPr>
          <w:rFonts w:hint="eastAsia" w:ascii="仿宋" w:hAnsi="仿宋" w:eastAsia="仿宋" w:cs="仿宋"/>
          <w:color w:val="auto"/>
          <w:sz w:val="24"/>
        </w:rPr>
        <w:t>，代表所有联合体成员负责投标和合同实施阶段的主办、协调工作</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w:t>
      </w:r>
      <w:r>
        <w:rPr>
          <w:rFonts w:hint="eastAsia" w:ascii="仿宋" w:hAnsi="仿宋" w:eastAsia="仿宋" w:cs="仿宋"/>
          <w:color w:val="auto"/>
          <w:sz w:val="24"/>
        </w:rPr>
        <w:t>所有联合体成员各方签署授权书，授权书载明的</w:t>
      </w:r>
      <w:r>
        <w:rPr>
          <w:rFonts w:hint="eastAsia" w:ascii="仿宋" w:hAnsi="仿宋" w:eastAsia="仿宋" w:cs="仿宋"/>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三、本次联合投标中，分工如下：</w:t>
      </w:r>
    </w:p>
    <w:p>
      <w:pPr>
        <w:snapToGrid w:val="0"/>
        <w:spacing w:line="360" w:lineRule="auto"/>
        <w:ind w:firstLine="576"/>
        <w:rPr>
          <w:rFonts w:hint="eastAsia" w:ascii="仿宋" w:hAnsi="仿宋" w:eastAsia="仿宋" w:cs="仿宋"/>
          <w:color w:val="auto"/>
          <w:kern w:val="0"/>
          <w:sz w:val="24"/>
          <w:lang w:val="zh-CN"/>
        </w:rPr>
      </w:pPr>
      <w:bookmarkStart w:id="402" w:name="_Hlk101134295"/>
      <w:r>
        <w:rPr>
          <w:rFonts w:hint="eastAsia" w:ascii="仿宋" w:hAnsi="仿宋" w:eastAsia="仿宋" w:cs="仿宋"/>
          <w:color w:val="auto"/>
          <w:kern w:val="0"/>
          <w:sz w:val="24"/>
          <w:u w:val="single"/>
        </w:rPr>
        <w:t>（联合体成员1）</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（联合体成员2）</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w:t>
      </w:r>
    </w:p>
    <w:bookmarkEnd w:id="402"/>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四、联合体成员中小企业合同份额。</w:t>
      </w:r>
    </w:p>
    <w:p>
      <w:pPr>
        <w:snapToGrid w:val="0"/>
        <w:spacing w:line="360" w:lineRule="auto"/>
        <w:ind w:firstLine="576"/>
        <w:rPr>
          <w:rFonts w:hint="eastAsia" w:ascii="仿宋" w:hAnsi="仿宋" w:eastAsia="仿宋" w:cs="仿宋"/>
          <w:b/>
          <w:color w:val="auto"/>
          <w:kern w:val="0"/>
          <w:sz w:val="24"/>
          <w:lang w:val="zh-CN"/>
        </w:rPr>
      </w:pPr>
      <w:r>
        <w:rPr>
          <w:rFonts w:hint="eastAsia" w:ascii="仿宋" w:hAnsi="仿宋" w:eastAsia="仿宋" w:cs="仿宋"/>
          <w:color w:val="auto"/>
          <w:kern w:val="0"/>
          <w:sz w:val="24"/>
          <w:lang w:val="zh-CN"/>
        </w:rPr>
        <w:t>1、</w:t>
      </w:r>
      <w:r>
        <w:rPr>
          <w:rFonts w:hint="eastAsia" w:ascii="仿宋" w:hAnsi="仿宋" w:eastAsia="仿宋" w:cs="仿宋"/>
          <w:color w:val="auto"/>
          <w:kern w:val="0"/>
          <w:sz w:val="24"/>
          <w:u w:val="single"/>
        </w:rPr>
        <w:t>（联合体成员X,……）</w:t>
      </w:r>
      <w:r>
        <w:rPr>
          <w:rFonts w:hint="eastAsia" w:ascii="仿宋" w:hAnsi="仿宋" w:eastAsia="仿宋" w:cs="仿宋"/>
          <w:color w:val="auto"/>
          <w:kern w:val="0"/>
          <w:sz w:val="24"/>
        </w:rPr>
        <w:t>提供的全部货物由小微企业制造，其合同份额占到合同总金额</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%以上；</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auto"/>
          <w:sz w:val="24"/>
        </w:rPr>
        <w:t>拟享受以上价格扣除政策的，填写有关内容。</w:t>
      </w:r>
      <w:r>
        <w:rPr>
          <w:rFonts w:hint="eastAsia" w:ascii="仿宋" w:hAnsi="仿宋" w:eastAsia="仿宋" w:cs="仿宋"/>
          <w:b/>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sz w:val="24"/>
        </w:rPr>
        <w:t>2、中小企业合同金额达到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%，其中小微企业合同金额达到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w:t>
      </w:r>
      <w:r>
        <w:rPr>
          <w:rFonts w:hint="eastAsia" w:ascii="仿宋" w:hAnsi="仿宋" w:eastAsia="仿宋" w:cs="仿宋"/>
          <w:b/>
          <w:bCs/>
          <w:color w:val="auto"/>
          <w:kern w:val="0"/>
          <w:sz w:val="24"/>
          <w:lang w:val="zh-CN"/>
        </w:rPr>
        <w:t>（</w:t>
      </w:r>
      <w:r>
        <w:rPr>
          <w:rFonts w:hint="eastAsia" w:ascii="仿宋" w:hAnsi="仿宋" w:eastAsia="仿宋" w:cs="仿宋"/>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五、如果中标，</w:t>
      </w:r>
      <w:r>
        <w:rPr>
          <w:rFonts w:hint="eastAsia" w:ascii="仿宋" w:hAnsi="仿宋" w:eastAsia="仿宋" w:cs="仿宋"/>
          <w:color w:val="auto"/>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六、有关本次联合投标的其他事宜：</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1、联合体各方不再单独参加或者与其他供应商另外组成联合体参加同一合同项下的采购活动。</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right="960"/>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w:t>
      </w:r>
    </w:p>
    <w:p>
      <w:pPr>
        <w:snapToGrid w:val="0"/>
        <w:spacing w:line="360" w:lineRule="auto"/>
        <w:jc w:val="righ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日期：  年  月   日</w:t>
      </w: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rPr>
          <w:rFonts w:hint="eastAsia" w:ascii="仿宋" w:hAnsi="仿宋" w:eastAsia="仿宋" w:cs="仿宋"/>
          <w:b/>
          <w:color w:val="auto"/>
          <w:spacing w:val="6"/>
          <w:sz w:val="32"/>
          <w:szCs w:val="32"/>
        </w:rPr>
      </w:pPr>
    </w:p>
    <w:p>
      <w:pPr>
        <w:snapToGrid w:val="0"/>
        <w:spacing w:line="360" w:lineRule="auto"/>
        <w:jc w:val="center"/>
        <w:outlineLvl w:val="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附件</w:t>
      </w:r>
      <w:r>
        <w:rPr>
          <w:rFonts w:hint="eastAsia" w:ascii="仿宋" w:hAnsi="仿宋" w:eastAsia="仿宋" w:cs="仿宋"/>
          <w:b/>
          <w:color w:val="auto"/>
          <w:kern w:val="0"/>
          <w:sz w:val="32"/>
          <w:szCs w:val="32"/>
          <w:lang w:val="en-US" w:eastAsia="zh-CN"/>
        </w:rPr>
        <w:t>7</w:t>
      </w:r>
      <w:r>
        <w:rPr>
          <w:rFonts w:hint="eastAsia" w:ascii="仿宋" w:hAnsi="仿宋" w:eastAsia="仿宋" w:cs="仿宋"/>
          <w:b/>
          <w:color w:val="auto"/>
          <w:kern w:val="0"/>
          <w:sz w:val="32"/>
          <w:szCs w:val="32"/>
        </w:rPr>
        <w:t>：分包意向协议</w:t>
      </w:r>
    </w:p>
    <w:p>
      <w:pPr>
        <w:widowControl/>
        <w:spacing w:line="360" w:lineRule="auto"/>
        <w:ind w:firstLine="120" w:firstLineChars="50"/>
        <w:jc w:val="left"/>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若成为</w:t>
      </w:r>
      <w:r>
        <w:rPr>
          <w:rFonts w:hint="eastAsia" w:ascii="仿宋" w:hAnsi="仿宋" w:eastAsia="仿宋" w:cs="仿宋"/>
          <w:color w:val="auto"/>
          <w:sz w:val="24"/>
          <w:u w:val="single"/>
          <w:lang w:eastAsia="zh-CN"/>
        </w:rPr>
        <w:t>两山公司一期（首批）项目建设支撑体系设备（5）巡护船（艇）采购项目</w:t>
      </w:r>
      <w:r>
        <w:rPr>
          <w:rFonts w:hint="eastAsia" w:ascii="仿宋" w:hAnsi="仿宋" w:eastAsia="仿宋" w:cs="仿宋"/>
          <w:color w:val="auto"/>
          <w:sz w:val="24"/>
        </w:rPr>
        <w:t>【招标编号：</w:t>
      </w:r>
      <w:r>
        <w:rPr>
          <w:rFonts w:hint="eastAsia" w:ascii="仿宋" w:hAnsi="仿宋" w:eastAsia="仿宋" w:cs="仿宋"/>
          <w:color w:val="auto"/>
          <w:sz w:val="24"/>
          <w:lang w:eastAsia="zh-CN"/>
        </w:rPr>
        <w:t>DFJW2023-CA-0</w:t>
      </w:r>
      <w:r>
        <w:rPr>
          <w:rFonts w:hint="eastAsia" w:ascii="仿宋" w:hAnsi="仿宋" w:eastAsia="仿宋" w:cs="仿宋"/>
          <w:color w:val="auto"/>
          <w:sz w:val="24"/>
          <w:lang w:val="en-US" w:eastAsia="zh-CN"/>
        </w:rPr>
        <w:t>20</w:t>
      </w:r>
      <w:r>
        <w:rPr>
          <w:rFonts w:hint="eastAsia" w:ascii="仿宋" w:hAnsi="仿宋" w:eastAsia="仿宋" w:cs="仿宋"/>
          <w:color w:val="auto"/>
          <w:sz w:val="24"/>
          <w:lang w:eastAsia="zh-CN"/>
        </w:rPr>
        <w:t>号</w:t>
      </w:r>
      <w:r>
        <w:rPr>
          <w:rFonts w:hint="eastAsia" w:ascii="仿宋" w:hAnsi="仿宋" w:eastAsia="仿宋" w:cs="仿宋"/>
          <w:color w:val="auto"/>
          <w:sz w:val="24"/>
        </w:rPr>
        <w:t>】</w:t>
      </w:r>
      <w:r>
        <w:rPr>
          <w:rFonts w:hint="eastAsia" w:ascii="仿宋" w:hAnsi="仿宋" w:eastAsia="仿宋" w:cs="仿宋"/>
          <w:color w:val="auto"/>
          <w:kern w:val="0"/>
          <w:sz w:val="24"/>
          <w:lang w:val="zh-CN"/>
        </w:rPr>
        <w:t>的中标供应商，将依法采取分包方式履行合同。</w:t>
      </w: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rPr>
        <w:t>与</w:t>
      </w:r>
      <w:r>
        <w:rPr>
          <w:rFonts w:hint="eastAsia" w:ascii="仿宋" w:hAnsi="仿宋" w:eastAsia="仿宋" w:cs="仿宋"/>
          <w:color w:val="auto"/>
          <w:kern w:val="0"/>
          <w:sz w:val="24"/>
          <w:u w:val="single"/>
        </w:rPr>
        <w:t>（所有分包供应商名称）</w:t>
      </w:r>
      <w:r>
        <w:rPr>
          <w:rFonts w:hint="eastAsia" w:ascii="仿宋" w:hAnsi="仿宋" w:eastAsia="仿宋" w:cs="仿宋"/>
          <w:color w:val="auto"/>
          <w:kern w:val="0"/>
          <w:sz w:val="24"/>
        </w:rPr>
        <w:t>达成分包意向协议</w:t>
      </w:r>
      <w:r>
        <w:rPr>
          <w:rFonts w:hint="eastAsia" w:ascii="仿宋" w:hAnsi="仿宋" w:eastAsia="仿宋" w:cs="仿宋"/>
          <w:color w:val="auto"/>
          <w:kern w:val="0"/>
          <w:sz w:val="24"/>
          <w:lang w:val="zh-CN"/>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一、分包标的及数量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将</w:t>
      </w:r>
      <w:r>
        <w:rPr>
          <w:rFonts w:hint="eastAsia" w:ascii="仿宋" w:hAnsi="仿宋" w:eastAsia="仿宋" w:cs="仿宋"/>
          <w:color w:val="auto"/>
          <w:u w:val="single"/>
        </w:rPr>
        <w:t xml:space="preserve"> </w:t>
      </w:r>
      <w:r>
        <w:rPr>
          <w:rFonts w:hint="eastAsia" w:ascii="仿宋" w:hAnsi="仿宋" w:eastAsia="仿宋" w:cs="仿宋"/>
          <w:color w:val="auto"/>
          <w:kern w:val="0"/>
          <w:sz w:val="24"/>
          <w:u w:val="single"/>
        </w:rPr>
        <w:t xml:space="preserve">  XX工作内容   </w:t>
      </w:r>
      <w:r>
        <w:rPr>
          <w:rFonts w:hint="eastAsia" w:ascii="仿宋" w:hAnsi="仿宋" w:eastAsia="仿宋" w:cs="仿宋"/>
          <w:color w:val="auto"/>
          <w:sz w:val="24"/>
        </w:rPr>
        <w:t>分包给</w:t>
      </w:r>
      <w:r>
        <w:rPr>
          <w:rFonts w:hint="eastAsia" w:ascii="仿宋" w:hAnsi="仿宋" w:eastAsia="仿宋" w:cs="仿宋"/>
          <w:color w:val="auto"/>
          <w:kern w:val="0"/>
          <w:sz w:val="24"/>
          <w:u w:val="single"/>
        </w:rPr>
        <w:t>（分包供应商1名称）</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（分包供应商1名称），</w:t>
      </w:r>
      <w:r>
        <w:rPr>
          <w:rFonts w:hint="eastAsia" w:ascii="仿宋" w:hAnsi="仿宋" w:eastAsia="仿宋" w:cs="仿宋"/>
          <w:color w:val="auto"/>
          <w:kern w:val="0"/>
          <w:sz w:val="24"/>
          <w:lang w:val="zh-CN"/>
        </w:rPr>
        <w:t>具备承</w:t>
      </w:r>
      <w:r>
        <w:rPr>
          <w:rFonts w:hint="eastAsia" w:ascii="仿宋" w:hAnsi="仿宋" w:eastAsia="仿宋" w:cs="仿宋"/>
          <w:color w:val="auto"/>
          <w:kern w:val="0"/>
          <w:sz w:val="24"/>
        </w:rPr>
        <w:t>担</w:t>
      </w:r>
      <w:r>
        <w:rPr>
          <w:rFonts w:hint="eastAsia" w:ascii="仿宋" w:hAnsi="仿宋" w:eastAsia="仿宋" w:cs="仿宋"/>
          <w:color w:val="auto"/>
          <w:kern w:val="0"/>
          <w:sz w:val="24"/>
          <w:u w:val="single"/>
          <w:lang w:val="zh-CN"/>
        </w:rPr>
        <w:t>XX工作内容</w:t>
      </w:r>
      <w:r>
        <w:rPr>
          <w:rFonts w:hint="eastAsia" w:ascii="仿宋" w:hAnsi="仿宋" w:eastAsia="仿宋" w:cs="仿宋"/>
          <w:color w:val="auto"/>
          <w:kern w:val="0"/>
          <w:sz w:val="24"/>
          <w:lang w:val="zh-CN"/>
        </w:rPr>
        <w:t>相应资质条件且不得再次分包；</w:t>
      </w:r>
    </w:p>
    <w:p>
      <w:pPr>
        <w:pStyle w:val="6"/>
        <w:ind w:left="664" w:leftChars="316" w:firstLine="229" w:firstLineChars="95"/>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二、分包供应商中小企业合同份额</w:t>
      </w:r>
    </w:p>
    <w:p>
      <w:pPr>
        <w:snapToGrid w:val="0"/>
        <w:spacing w:line="360" w:lineRule="auto"/>
        <w:ind w:firstLine="576"/>
        <w:rPr>
          <w:rFonts w:hint="eastAsia" w:ascii="仿宋" w:hAnsi="仿宋" w:eastAsia="仿宋" w:cs="仿宋"/>
          <w:b/>
          <w:color w:val="auto"/>
          <w:kern w:val="0"/>
          <w:sz w:val="24"/>
          <w:lang w:val="zh-CN"/>
        </w:rPr>
      </w:pPr>
      <w:r>
        <w:rPr>
          <w:rFonts w:hint="eastAsia" w:ascii="仿宋" w:hAnsi="仿宋" w:eastAsia="仿宋" w:cs="仿宋"/>
          <w:color w:val="auto"/>
          <w:kern w:val="0"/>
          <w:sz w:val="24"/>
        </w:rPr>
        <w:t>1、</w:t>
      </w:r>
      <w:r>
        <w:rPr>
          <w:rFonts w:hint="eastAsia" w:ascii="仿宋" w:hAnsi="仿宋" w:eastAsia="仿宋" w:cs="仿宋"/>
          <w:color w:val="auto"/>
          <w:kern w:val="0"/>
          <w:sz w:val="24"/>
          <w:u w:val="single"/>
        </w:rPr>
        <w:t>（分包供应商X,……）提供的货物全部由小微企业制造，</w:t>
      </w:r>
      <w:r>
        <w:rPr>
          <w:rFonts w:hint="eastAsia" w:ascii="仿宋" w:hAnsi="仿宋" w:eastAsia="仿宋" w:cs="仿宋"/>
          <w:color w:val="auto"/>
          <w:kern w:val="0"/>
          <w:sz w:val="24"/>
        </w:rPr>
        <w:t>其合同份额占到合同总金额</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%以上</w:t>
      </w:r>
      <w:r>
        <w:rPr>
          <w:rFonts w:hint="eastAsia" w:ascii="仿宋" w:hAnsi="仿宋" w:eastAsia="仿宋" w:cs="仿宋"/>
          <w:color w:val="auto"/>
        </w:rPr>
        <w:t>。</w:t>
      </w:r>
      <w:r>
        <w:rPr>
          <w:rFonts w:hint="eastAsia" w:ascii="仿宋" w:hAnsi="仿宋" w:eastAsia="仿宋" w:cs="仿宋"/>
          <w:b/>
          <w:color w:val="auto"/>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rPr>
        <w:t>拟享受以上价格扣除政策的，填写有关内容。</w:t>
      </w:r>
      <w:r>
        <w:rPr>
          <w:rFonts w:hint="eastAsia" w:ascii="仿宋" w:hAnsi="仿宋" w:eastAsia="仿宋" w:cs="仿宋"/>
          <w:b/>
          <w:color w:val="auto"/>
          <w:kern w:val="0"/>
          <w:sz w:val="24"/>
          <w:lang w:val="zh-CN"/>
        </w:rPr>
        <w:t>）</w:t>
      </w:r>
    </w:p>
    <w:p>
      <w:pPr>
        <w:spacing w:line="360" w:lineRule="auto"/>
        <w:ind w:firstLine="480" w:firstLineChars="200"/>
        <w:rPr>
          <w:rFonts w:hint="eastAsia" w:ascii="仿宋" w:hAnsi="仿宋" w:eastAsia="仿宋" w:cs="仿宋"/>
          <w:b/>
          <w:bCs/>
          <w:color w:val="auto"/>
          <w:kern w:val="0"/>
          <w:sz w:val="24"/>
          <w:lang w:val="zh-CN"/>
        </w:rPr>
      </w:pPr>
      <w:r>
        <w:rPr>
          <w:rFonts w:hint="eastAsia" w:ascii="仿宋" w:hAnsi="仿宋" w:eastAsia="仿宋" w:cs="仿宋"/>
          <w:color w:val="auto"/>
          <w:sz w:val="24"/>
        </w:rPr>
        <w:t>2、</w:t>
      </w:r>
      <w:bookmarkStart w:id="403" w:name="_Hlk101133173"/>
      <w:r>
        <w:rPr>
          <w:rFonts w:hint="eastAsia" w:ascii="仿宋" w:hAnsi="仿宋" w:eastAsia="仿宋" w:cs="仿宋"/>
          <w:color w:val="auto"/>
          <w:sz w:val="24"/>
        </w:rPr>
        <w:t>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%，其中小微企业合同金额达到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w:t>
      </w:r>
      <w:r>
        <w:rPr>
          <w:rFonts w:hint="eastAsia" w:ascii="仿宋" w:hAnsi="仿宋" w:eastAsia="仿宋" w:cs="仿宋"/>
          <w:b/>
          <w:bCs/>
          <w:color w:val="auto"/>
          <w:kern w:val="0"/>
          <w:sz w:val="24"/>
          <w:lang w:val="zh-CN"/>
        </w:rPr>
        <w:t>（</w:t>
      </w:r>
      <w:r>
        <w:rPr>
          <w:rFonts w:hint="eastAsia" w:ascii="仿宋" w:hAnsi="仿宋" w:eastAsia="仿宋" w:cs="仿宋"/>
          <w:b/>
          <w:bCs/>
          <w:color w:val="auto"/>
          <w:sz w:val="24"/>
        </w:rPr>
        <w:t>要求合同分包形式参加的项目或采购包，供应商按招标文件第一部分招标公告申请人的资格要求中规定的</w:t>
      </w:r>
      <w:r>
        <w:rPr>
          <w:rFonts w:hint="eastAsia" w:ascii="仿宋" w:hAnsi="仿宋" w:eastAsia="仿宋" w:cs="仿宋"/>
          <w:b/>
          <w:color w:val="auto"/>
          <w:kern w:val="0"/>
          <w:sz w:val="24"/>
          <w:lang w:val="zh-CN"/>
        </w:rPr>
        <w:t>分包意向协议</w:t>
      </w:r>
      <w:r>
        <w:rPr>
          <w:rFonts w:hint="eastAsia" w:ascii="仿宋" w:hAnsi="仿宋" w:eastAsia="仿宋" w:cs="仿宋"/>
          <w:b/>
          <w:bCs/>
          <w:color w:val="auto"/>
          <w:sz w:val="24"/>
        </w:rPr>
        <w:t>中中小企业、小微企业合同金额应当达到的比例要求填写。</w:t>
      </w:r>
      <w:r>
        <w:rPr>
          <w:rFonts w:hint="eastAsia" w:ascii="仿宋" w:hAnsi="仿宋" w:eastAsia="仿宋" w:cs="仿宋"/>
          <w:b/>
          <w:bCs/>
          <w:color w:val="auto"/>
          <w:kern w:val="0"/>
          <w:sz w:val="24"/>
          <w:lang w:val="zh-CN"/>
        </w:rPr>
        <w:t>）</w:t>
      </w:r>
      <w:bookmarkEnd w:id="403"/>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三、分包工作履行期限、地点、方式</w:t>
      </w:r>
    </w:p>
    <w:p>
      <w:pPr>
        <w:snapToGrid w:val="0"/>
        <w:spacing w:line="360" w:lineRule="auto"/>
        <w:ind w:firstLine="576"/>
        <w:rPr>
          <w:rFonts w:hint="eastAsia" w:ascii="仿宋" w:hAnsi="仿宋" w:eastAsia="仿宋" w:cs="仿宋"/>
          <w:color w:val="auto"/>
          <w:u w:val="single"/>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四、质量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五、价款或者报酬</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六、违约责任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七、争议解决的办法</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left="5758" w:leftChars="342" w:hanging="5040" w:hanging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投标人名称(电子签名)：</w:t>
      </w:r>
    </w:p>
    <w:p>
      <w:pPr>
        <w:snapToGrid w:val="0"/>
        <w:spacing w:line="360" w:lineRule="auto"/>
        <w:jc w:val="righ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分包供应商名称(电子签名/公章)：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pacing w:line="360" w:lineRule="auto"/>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snapToGrid w:val="0"/>
        <w:spacing w:line="360" w:lineRule="auto"/>
        <w:jc w:val="center"/>
        <w:outlineLvl w:val="0"/>
        <w:rPr>
          <w:rFonts w:hint="eastAsia" w:ascii="仿宋" w:hAnsi="仿宋" w:eastAsia="仿宋" w:cs="仿宋"/>
          <w:b/>
          <w:color w:val="auto"/>
          <w:kern w:val="0"/>
          <w:sz w:val="32"/>
          <w:szCs w:val="32"/>
        </w:rPr>
        <w:sectPr>
          <w:headerReference r:id="rId23" w:type="first"/>
          <w:footerReference r:id="rId26" w:type="first"/>
          <w:headerReference r:id="rId22" w:type="default"/>
          <w:footerReference r:id="rId24" w:type="default"/>
          <w:footerReference r:id="rId25" w:type="even"/>
          <w:pgSz w:w="11906" w:h="16838"/>
          <w:pgMar w:top="1276" w:right="1418" w:bottom="1247" w:left="1418" w:header="851" w:footer="992" w:gutter="0"/>
          <w:cols w:space="720" w:num="1"/>
          <w:titlePg/>
          <w:docGrid w:linePitch="312" w:charSpace="0"/>
        </w:sectPr>
      </w:pPr>
    </w:p>
    <w:p>
      <w:pPr>
        <w:snapToGrid w:val="0"/>
        <w:spacing w:line="360" w:lineRule="auto"/>
        <w:jc w:val="center"/>
        <w:outlineLvl w:val="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附件</w:t>
      </w:r>
      <w:r>
        <w:rPr>
          <w:rFonts w:hint="eastAsia" w:ascii="仿宋" w:hAnsi="仿宋" w:eastAsia="仿宋" w:cs="仿宋"/>
          <w:b/>
          <w:color w:val="auto"/>
          <w:kern w:val="0"/>
          <w:sz w:val="32"/>
          <w:szCs w:val="32"/>
          <w:lang w:val="en-US" w:eastAsia="zh-CN"/>
        </w:rPr>
        <w:t>8</w:t>
      </w:r>
      <w:r>
        <w:rPr>
          <w:rFonts w:hint="eastAsia" w:ascii="仿宋" w:hAnsi="仿宋" w:eastAsia="仿宋" w:cs="仿宋"/>
          <w:b/>
          <w:color w:val="auto"/>
          <w:kern w:val="0"/>
          <w:sz w:val="32"/>
          <w:szCs w:val="32"/>
        </w:rPr>
        <w:t xml:space="preserve">：收费附表 </w:t>
      </w:r>
    </w:p>
    <w:p>
      <w:pPr>
        <w:ind w:firstLine="723" w:firstLineChars="200"/>
        <w:rPr>
          <w:rFonts w:hint="eastAsia" w:ascii="仿宋" w:hAnsi="仿宋" w:eastAsia="仿宋" w:cs="仿宋"/>
          <w:b/>
          <w:color w:val="auto"/>
          <w:sz w:val="36"/>
          <w:szCs w:val="36"/>
        </w:rPr>
      </w:pP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根据淳国资办[2021]32号文《淳安县国有资产监督管理办公室关于明确国有产权交易、货物与服务采购收费标准及费用分配的通知》收取招标代理费。该收费标准具体收费形式见下表：</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jc w:val="center"/>
        </w:trPr>
        <w:tc>
          <w:tcPr>
            <w:tcW w:w="2448" w:type="dxa"/>
            <w:noWrap w:val="0"/>
            <w:vAlign w:val="top"/>
          </w:tcPr>
          <w:p>
            <w:pPr>
              <w:ind w:firstLine="211"/>
              <w:rPr>
                <w:rFonts w:hint="eastAsia" w:ascii="仿宋" w:hAnsi="仿宋" w:eastAsia="仿宋" w:cs="仿宋"/>
                <w:b/>
                <w:color w:val="auto"/>
              </w:rPr>
            </w:pPr>
            <w:r>
              <w:rPr>
                <w:rFonts w:hint="eastAsia" w:ascii="仿宋" w:hAnsi="仿宋" w:eastAsia="仿宋" w:cs="仿宋"/>
                <w:color w:val="auto"/>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2540</wp:posOffset>
                      </wp:positionV>
                      <wp:extent cx="1514475" cy="1724025"/>
                      <wp:effectExtent l="3810" t="3175" r="5715" b="6350"/>
                      <wp:wrapNone/>
                      <wp:docPr id="6" name="直接连接符 6"/>
                      <wp:cNvGraphicFramePr/>
                      <a:graphic xmlns:a="http://schemas.openxmlformats.org/drawingml/2006/main">
                        <a:graphicData uri="http://schemas.microsoft.com/office/word/2010/wordprocessingShape">
                          <wps:wsp>
                            <wps:cNvCnPr/>
                            <wps:spPr>
                              <a:xfrm>
                                <a:off x="1075055" y="2675890"/>
                                <a:ext cx="1514475" cy="1724025"/>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0.95pt;margin-top:0.2pt;height:135.75pt;width:119.25pt;z-index:251662336;mso-width-relative:page;mso-height-relative:page;" filled="f" stroked="t" coordsize="21600,21600" o:gfxdata="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7LOO7VAAAABwEAAA8AAAAAAAAAAQAgAAAAIgAA&#10;AGRycy9kb3ducmV2LnhtbFBLAQIUABQAAAAIAIdO4kDroV00CwIAAPMDAAAOAAAAAAAAAAEAIAAA&#10;ACQBAABkcnMvZTJvRG9jLnhtbFBLBQYAAAAABgAGAFkBAAChBQAAAAA=&#10;">
                      <v:fill on="f" focussize="0,0"/>
                      <v:stroke color="#457BBA" joinstyle="round"/>
                      <v:imagedata o:title=""/>
                      <o:lock v:ext="edit" aspectratio="f"/>
                    </v:line>
                  </w:pict>
                </mc:Fallback>
              </mc:AlternateContent>
            </w:r>
          </w:p>
          <w:p>
            <w:pPr>
              <w:ind w:firstLine="1004"/>
              <w:rPr>
                <w:rFonts w:hint="eastAsia" w:ascii="仿宋" w:hAnsi="仿宋" w:eastAsia="仿宋" w:cs="仿宋"/>
                <w:b/>
                <w:color w:val="auto"/>
              </w:rPr>
            </w:pPr>
            <w:r>
              <w:rPr>
                <w:rFonts w:hint="eastAsia" w:ascii="仿宋" w:hAnsi="仿宋" w:eastAsia="仿宋" w:cs="仿宋"/>
                <w:b/>
                <w:color w:val="auto"/>
              </w:rPr>
              <w:t>　　　</w:t>
            </w:r>
          </w:p>
          <w:p>
            <w:pPr>
              <w:ind w:firstLine="843" w:firstLineChars="400"/>
              <w:rPr>
                <w:rFonts w:hint="eastAsia" w:ascii="仿宋" w:hAnsi="仿宋" w:eastAsia="仿宋" w:cs="仿宋"/>
                <w:b/>
                <w:color w:val="auto"/>
              </w:rPr>
            </w:pPr>
            <w:r>
              <w:rPr>
                <w:rFonts w:hint="eastAsia" w:ascii="仿宋" w:hAnsi="仿宋" w:eastAsia="仿宋" w:cs="仿宋"/>
                <w:b/>
                <w:color w:val="auto"/>
              </w:rPr>
              <w:t>服务类型</w:t>
            </w:r>
          </w:p>
          <w:p>
            <w:pPr>
              <w:ind w:firstLine="1301" w:firstLineChars="617"/>
              <w:rPr>
                <w:rFonts w:hint="eastAsia" w:ascii="仿宋" w:hAnsi="仿宋" w:eastAsia="仿宋" w:cs="仿宋"/>
                <w:b/>
                <w:color w:val="auto"/>
              </w:rPr>
            </w:pPr>
          </w:p>
          <w:p>
            <w:pPr>
              <w:ind w:firstLine="1301" w:firstLineChars="617"/>
              <w:rPr>
                <w:rFonts w:hint="eastAsia" w:ascii="仿宋" w:hAnsi="仿宋" w:eastAsia="仿宋" w:cs="仿宋"/>
                <w:b/>
                <w:color w:val="auto"/>
              </w:rPr>
            </w:pPr>
          </w:p>
          <w:p>
            <w:pPr>
              <w:ind w:firstLine="630" w:firstLineChars="300"/>
              <w:rPr>
                <w:rFonts w:hint="eastAsia" w:ascii="仿宋" w:hAnsi="仿宋" w:eastAsia="仿宋" w:cs="仿宋"/>
                <w:b/>
                <w:color w:val="auto"/>
              </w:rPr>
            </w:pPr>
            <w:r>
              <w:rPr>
                <w:rFonts w:hint="eastAsia" w:ascii="仿宋" w:hAnsi="仿宋" w:eastAsia="仿宋" w:cs="仿宋"/>
                <w:color w:val="auto"/>
              </w:rPr>
              <mc:AlternateContent>
                <mc:Choice Requires="wps">
                  <w:drawing>
                    <wp:anchor distT="0" distB="0" distL="114300" distR="114300" simplePos="0" relativeHeight="251661312" behindDoc="0" locked="0" layoutInCell="1" allowOverlap="1">
                      <wp:simplePos x="0" y="0"/>
                      <wp:positionH relativeFrom="column">
                        <wp:posOffset>-107950</wp:posOffset>
                      </wp:positionH>
                      <wp:positionV relativeFrom="paragraph">
                        <wp:posOffset>71120</wp:posOffset>
                      </wp:positionV>
                      <wp:extent cx="1401445" cy="643255"/>
                      <wp:effectExtent l="1905" t="4445" r="6350" b="19050"/>
                      <wp:wrapNone/>
                      <wp:docPr id="5" name="直接连接符 5"/>
                      <wp:cNvGraphicFramePr/>
                      <a:graphic xmlns:a="http://schemas.openxmlformats.org/drawingml/2006/main">
                        <a:graphicData uri="http://schemas.microsoft.com/office/word/2010/wordprocessingShape">
                          <wps:wsp>
                            <wps:cNvCnPr/>
                            <wps:spPr>
                              <a:xfrm>
                                <a:off x="1075055" y="3361690"/>
                                <a:ext cx="1504950" cy="613410"/>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8.5pt;margin-top:5.6pt;height:50.65pt;width:110.35pt;z-index:251661312;mso-width-relative:page;mso-height-relative:page;" filled="f" stroked="t" coordsize="21600,21600" o:gfxdata="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W3NMT2AAAAAoBAAAPAAAAAAAAAAEAIAAA&#10;ACIAAABkcnMvZG93bnJldi54bWxQSwECFAAUAAAACACHTuJAKxcNVgwCAADyAwAADgAAAAAAAAAB&#10;ACAAAAAnAQAAZHJzL2Uyb0RvYy54bWxQSwUGAAAAAAYABgBZAQAApQUAAAAA&#10;">
                      <v:fill on="f" focussize="0,0"/>
                      <v:stroke color="#457BBA" joinstyle="round"/>
                      <v:imagedata o:title=""/>
                      <o:lock v:ext="edit" aspectratio="f"/>
                    </v:line>
                  </w:pict>
                </mc:Fallback>
              </mc:AlternateContent>
            </w:r>
            <w:r>
              <w:rPr>
                <w:rFonts w:hint="eastAsia" w:ascii="仿宋" w:hAnsi="仿宋" w:eastAsia="仿宋" w:cs="仿宋"/>
                <w:b/>
                <w:color w:val="auto"/>
              </w:rPr>
              <w:t>费率</w:t>
            </w:r>
          </w:p>
          <w:p>
            <w:pPr>
              <w:ind w:firstLine="1054"/>
              <w:rPr>
                <w:rFonts w:hint="eastAsia" w:ascii="仿宋" w:hAnsi="仿宋" w:eastAsia="仿宋" w:cs="仿宋"/>
                <w:b/>
                <w:color w:val="auto"/>
              </w:rPr>
            </w:pPr>
            <w:r>
              <w:rPr>
                <w:rFonts w:hint="eastAsia" w:ascii="仿宋" w:hAnsi="仿宋" w:eastAsia="仿宋" w:cs="仿宋"/>
                <w:b/>
                <w:color w:val="auto"/>
              </w:rPr>
              <w:t>　　　</w:t>
            </w:r>
          </w:p>
          <w:p>
            <w:pPr>
              <w:ind w:firstLine="1054"/>
              <w:rPr>
                <w:rFonts w:hint="eastAsia" w:ascii="仿宋" w:hAnsi="仿宋" w:eastAsia="仿宋" w:cs="仿宋"/>
                <w:b/>
                <w:color w:val="auto"/>
              </w:rPr>
            </w:pPr>
            <w:r>
              <w:rPr>
                <w:rFonts w:hint="eastAsia" w:ascii="仿宋" w:hAnsi="仿宋" w:eastAsia="仿宋" w:cs="仿宋"/>
                <w:b/>
                <w:color w:val="auto"/>
              </w:rPr>
              <w:t>　　　　</w:t>
            </w:r>
          </w:p>
          <w:p>
            <w:pPr>
              <w:ind w:firstLine="211" w:firstLineChars="100"/>
              <w:rPr>
                <w:rFonts w:hint="eastAsia" w:ascii="仿宋" w:hAnsi="仿宋" w:eastAsia="仿宋" w:cs="仿宋"/>
                <w:b/>
                <w:color w:val="auto"/>
              </w:rPr>
            </w:pPr>
            <w:r>
              <w:rPr>
                <w:rFonts w:hint="eastAsia" w:ascii="仿宋" w:hAnsi="仿宋" w:eastAsia="仿宋" w:cs="仿宋"/>
                <w:b/>
                <w:color w:val="auto"/>
              </w:rPr>
              <w:t>中标金额</w:t>
            </w:r>
          </w:p>
          <w:p>
            <w:pPr>
              <w:ind w:firstLine="211" w:firstLineChars="100"/>
              <w:rPr>
                <w:rFonts w:hint="eastAsia" w:ascii="仿宋" w:hAnsi="仿宋" w:eastAsia="仿宋" w:cs="仿宋"/>
                <w:b/>
                <w:color w:val="auto"/>
              </w:rPr>
            </w:pPr>
            <w:r>
              <w:rPr>
                <w:rFonts w:hint="eastAsia" w:ascii="仿宋" w:hAnsi="仿宋" w:eastAsia="仿宋" w:cs="仿宋"/>
                <w:b/>
                <w:color w:val="auto"/>
              </w:rPr>
              <w:t xml:space="preserve">（万元） </w:t>
            </w:r>
          </w:p>
        </w:tc>
        <w:tc>
          <w:tcPr>
            <w:tcW w:w="1980" w:type="dxa"/>
            <w:noWrap w:val="0"/>
            <w:vAlign w:val="center"/>
          </w:tcPr>
          <w:p>
            <w:pPr>
              <w:jc w:val="center"/>
              <w:rPr>
                <w:rFonts w:hint="eastAsia" w:ascii="仿宋" w:hAnsi="仿宋" w:eastAsia="仿宋" w:cs="仿宋"/>
                <w:b/>
                <w:color w:val="auto"/>
              </w:rPr>
            </w:pPr>
            <w:r>
              <w:rPr>
                <w:rFonts w:hint="eastAsia" w:ascii="仿宋" w:hAnsi="仿宋" w:eastAsia="仿宋" w:cs="仿宋"/>
                <w:b/>
                <w:color w:val="auto"/>
              </w:rPr>
              <w:t>货物招标</w:t>
            </w:r>
          </w:p>
        </w:tc>
        <w:tc>
          <w:tcPr>
            <w:tcW w:w="1980" w:type="dxa"/>
            <w:noWrap w:val="0"/>
            <w:vAlign w:val="center"/>
          </w:tcPr>
          <w:p>
            <w:pPr>
              <w:jc w:val="center"/>
              <w:rPr>
                <w:rFonts w:hint="eastAsia" w:ascii="仿宋" w:hAnsi="仿宋" w:eastAsia="仿宋" w:cs="仿宋"/>
                <w:b/>
                <w:color w:val="auto"/>
              </w:rPr>
            </w:pPr>
            <w:r>
              <w:rPr>
                <w:rFonts w:hint="eastAsia" w:ascii="仿宋" w:hAnsi="仿宋" w:eastAsia="仿宋" w:cs="仿宋"/>
                <w:b/>
                <w:color w:val="auto"/>
              </w:rPr>
              <w:t>服务招标</w:t>
            </w:r>
          </w:p>
        </w:tc>
        <w:tc>
          <w:tcPr>
            <w:tcW w:w="1980" w:type="dxa"/>
            <w:noWrap w:val="0"/>
            <w:vAlign w:val="center"/>
          </w:tcPr>
          <w:p>
            <w:pPr>
              <w:jc w:val="center"/>
              <w:rPr>
                <w:rFonts w:hint="eastAsia" w:ascii="仿宋" w:hAnsi="仿宋" w:eastAsia="仿宋" w:cs="仿宋"/>
                <w:b/>
                <w:color w:val="auto"/>
              </w:rPr>
            </w:pPr>
            <w:r>
              <w:rPr>
                <w:rFonts w:hint="eastAsia" w:ascii="仿宋" w:hAnsi="仿宋" w:eastAsia="仿宋" w:cs="仿宋"/>
                <w:b/>
                <w:color w:val="auto"/>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rFonts w:hint="eastAsia" w:ascii="仿宋" w:hAnsi="仿宋" w:eastAsia="仿宋" w:cs="仿宋"/>
                <w:color w:val="auto"/>
              </w:rPr>
            </w:pPr>
            <w:r>
              <w:rPr>
                <w:rFonts w:hint="eastAsia" w:ascii="仿宋" w:hAnsi="仿宋" w:eastAsia="仿宋" w:cs="仿宋"/>
                <w:color w:val="auto"/>
              </w:rPr>
              <w:t>100以下</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1.5%</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1.5%</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rFonts w:hint="eastAsia" w:ascii="仿宋" w:hAnsi="仿宋" w:eastAsia="仿宋" w:cs="仿宋"/>
                <w:color w:val="auto"/>
              </w:rPr>
            </w:pPr>
            <w:r>
              <w:rPr>
                <w:rFonts w:hint="eastAsia" w:ascii="仿宋" w:hAnsi="仿宋" w:eastAsia="仿宋" w:cs="仿宋"/>
                <w:color w:val="auto"/>
              </w:rPr>
              <w:t>100-500</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1.1%</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0.85%</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rFonts w:hint="eastAsia" w:ascii="仿宋" w:hAnsi="仿宋" w:eastAsia="仿宋" w:cs="仿宋"/>
                <w:color w:val="auto"/>
              </w:rPr>
            </w:pPr>
            <w:r>
              <w:rPr>
                <w:rFonts w:hint="eastAsia" w:ascii="仿宋" w:hAnsi="仿宋" w:eastAsia="仿宋" w:cs="仿宋"/>
                <w:color w:val="auto"/>
              </w:rPr>
              <w:t>500-1000</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0.8%</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0.45%</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rFonts w:hint="eastAsia" w:ascii="仿宋" w:hAnsi="仿宋" w:eastAsia="仿宋" w:cs="仿宋"/>
                <w:color w:val="auto"/>
              </w:rPr>
            </w:pPr>
            <w:r>
              <w:rPr>
                <w:rFonts w:hint="eastAsia" w:ascii="仿宋" w:hAnsi="仿宋" w:eastAsia="仿宋" w:cs="仿宋"/>
                <w:color w:val="auto"/>
              </w:rPr>
              <w:t>1000-5000</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0.5%</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0.25%</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rFonts w:hint="eastAsia" w:ascii="仿宋" w:hAnsi="仿宋" w:eastAsia="仿宋" w:cs="仿宋"/>
                <w:color w:val="auto"/>
              </w:rPr>
            </w:pPr>
            <w:r>
              <w:rPr>
                <w:rFonts w:hint="eastAsia" w:ascii="仿宋" w:hAnsi="仿宋" w:eastAsia="仿宋" w:cs="仿宋"/>
                <w:color w:val="auto"/>
              </w:rPr>
              <w:t>5000-10000</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0.25%</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0.1%</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rFonts w:hint="eastAsia" w:ascii="仿宋" w:hAnsi="仿宋" w:eastAsia="仿宋" w:cs="仿宋"/>
                <w:color w:val="auto"/>
              </w:rPr>
            </w:pPr>
            <w:r>
              <w:rPr>
                <w:rFonts w:hint="eastAsia" w:ascii="仿宋" w:hAnsi="仿宋" w:eastAsia="仿宋" w:cs="仿宋"/>
                <w:color w:val="auto"/>
              </w:rPr>
              <w:t>10000-50000</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0.05%</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0.05%</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rFonts w:hint="eastAsia" w:ascii="仿宋" w:hAnsi="仿宋" w:eastAsia="仿宋" w:cs="仿宋"/>
                <w:color w:val="auto"/>
              </w:rPr>
            </w:pPr>
            <w:r>
              <w:rPr>
                <w:rFonts w:hint="eastAsia" w:ascii="仿宋" w:hAnsi="仿宋" w:eastAsia="仿宋" w:cs="仿宋"/>
                <w:color w:val="auto"/>
              </w:rPr>
              <w:t>50000-100000</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0.035%</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0.035%</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rFonts w:hint="eastAsia" w:ascii="仿宋" w:hAnsi="仿宋" w:eastAsia="仿宋" w:cs="仿宋"/>
                <w:color w:val="auto"/>
              </w:rPr>
            </w:pPr>
            <w:r>
              <w:rPr>
                <w:rFonts w:hint="eastAsia" w:ascii="仿宋" w:hAnsi="仿宋" w:eastAsia="仿宋" w:cs="仿宋"/>
                <w:color w:val="auto"/>
              </w:rPr>
              <w:t>100000-500000</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0.008%</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0.008%</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rFonts w:hint="eastAsia" w:ascii="仿宋" w:hAnsi="仿宋" w:eastAsia="仿宋" w:cs="仿宋"/>
                <w:color w:val="auto"/>
              </w:rPr>
            </w:pPr>
            <w:r>
              <w:rPr>
                <w:rFonts w:hint="eastAsia" w:ascii="仿宋" w:hAnsi="仿宋" w:eastAsia="仿宋" w:cs="仿宋"/>
                <w:color w:val="auto"/>
              </w:rPr>
              <w:t>500000-1000000</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0.006%</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0.006%</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rFonts w:hint="eastAsia" w:ascii="仿宋" w:hAnsi="仿宋" w:eastAsia="仿宋" w:cs="仿宋"/>
                <w:color w:val="auto"/>
              </w:rPr>
            </w:pPr>
            <w:r>
              <w:rPr>
                <w:rFonts w:hint="eastAsia" w:ascii="仿宋" w:hAnsi="仿宋" w:eastAsia="仿宋" w:cs="仿宋"/>
                <w:color w:val="auto"/>
              </w:rPr>
              <w:t>1000000以上</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0.004%</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0.004%</w:t>
            </w:r>
          </w:p>
        </w:tc>
        <w:tc>
          <w:tcPr>
            <w:tcW w:w="1980" w:type="dxa"/>
            <w:noWrap w:val="0"/>
            <w:vAlign w:val="top"/>
          </w:tcPr>
          <w:p>
            <w:pPr>
              <w:jc w:val="center"/>
              <w:rPr>
                <w:rFonts w:hint="eastAsia" w:ascii="仿宋" w:hAnsi="仿宋" w:eastAsia="仿宋" w:cs="仿宋"/>
                <w:color w:val="auto"/>
              </w:rPr>
            </w:pPr>
            <w:r>
              <w:rPr>
                <w:rFonts w:hint="eastAsia" w:ascii="仿宋" w:hAnsi="仿宋" w:eastAsia="仿宋" w:cs="仿宋"/>
                <w:color w:val="auto"/>
              </w:rPr>
              <w:t>0.004%</w:t>
            </w:r>
          </w:p>
        </w:tc>
      </w:tr>
    </w:tbl>
    <w:p>
      <w:pPr>
        <w:ind w:firstLine="420" w:firstLineChars="200"/>
        <w:rPr>
          <w:rFonts w:hint="eastAsia" w:ascii="仿宋" w:hAnsi="仿宋" w:eastAsia="仿宋" w:cs="仿宋"/>
          <w:color w:val="auto"/>
          <w:szCs w:val="21"/>
        </w:rPr>
      </w:pPr>
      <w:r>
        <w:rPr>
          <w:rFonts w:hint="eastAsia" w:ascii="仿宋" w:hAnsi="仿宋" w:eastAsia="仿宋" w:cs="仿宋"/>
          <w:color w:val="auto"/>
          <w:szCs w:val="21"/>
        </w:rPr>
        <w:t>注：收费标准低于2000元的按2000元收取。</w:t>
      </w:r>
    </w:p>
    <w:p>
      <w:pPr>
        <w:ind w:firstLine="420" w:firstLineChars="200"/>
        <w:rPr>
          <w:rFonts w:hint="eastAsia" w:ascii="仿宋" w:hAnsi="仿宋" w:eastAsia="仿宋" w:cs="仿宋"/>
          <w:color w:val="auto"/>
          <w:szCs w:val="21"/>
        </w:rPr>
      </w:pPr>
      <w:r>
        <w:rPr>
          <w:rFonts w:hint="eastAsia" w:ascii="仿宋" w:hAnsi="仿宋" w:eastAsia="仿宋" w:cs="仿宋"/>
          <w:color w:val="auto"/>
          <w:szCs w:val="21"/>
        </w:rPr>
        <w:t>例：一项货物采购项目，中标金额6000万元，收费如下：</w:t>
      </w:r>
    </w:p>
    <w:p>
      <w:pPr>
        <w:ind w:firstLine="420" w:firstLineChars="200"/>
        <w:rPr>
          <w:rFonts w:hint="eastAsia" w:ascii="仿宋" w:hAnsi="仿宋" w:eastAsia="仿宋" w:cs="仿宋"/>
          <w:color w:val="auto"/>
          <w:szCs w:val="21"/>
        </w:rPr>
      </w:pPr>
      <w:r>
        <w:rPr>
          <w:rFonts w:hint="eastAsia" w:ascii="仿宋" w:hAnsi="仿宋" w:eastAsia="仿宋" w:cs="仿宋"/>
          <w:color w:val="auto"/>
          <w:szCs w:val="21"/>
        </w:rPr>
        <w:t>100万元×1.5％＝1.5万元</w:t>
      </w:r>
    </w:p>
    <w:p>
      <w:pPr>
        <w:ind w:firstLine="420" w:firstLineChars="200"/>
        <w:rPr>
          <w:rFonts w:hint="eastAsia" w:ascii="仿宋" w:hAnsi="仿宋" w:eastAsia="仿宋" w:cs="仿宋"/>
          <w:color w:val="auto"/>
          <w:szCs w:val="21"/>
        </w:rPr>
      </w:pPr>
      <w:r>
        <w:rPr>
          <w:rFonts w:hint="eastAsia" w:ascii="仿宋" w:hAnsi="仿宋" w:eastAsia="仿宋" w:cs="仿宋"/>
          <w:color w:val="auto"/>
          <w:szCs w:val="21"/>
        </w:rPr>
        <w:t>（500-100）万元×1.1％＝4.4万元</w:t>
      </w:r>
    </w:p>
    <w:p>
      <w:pPr>
        <w:ind w:firstLine="420" w:firstLineChars="200"/>
        <w:rPr>
          <w:rFonts w:hint="eastAsia" w:ascii="仿宋" w:hAnsi="仿宋" w:eastAsia="仿宋" w:cs="仿宋"/>
          <w:color w:val="auto"/>
          <w:szCs w:val="21"/>
        </w:rPr>
      </w:pPr>
      <w:r>
        <w:rPr>
          <w:rFonts w:hint="eastAsia" w:ascii="仿宋" w:hAnsi="仿宋" w:eastAsia="仿宋" w:cs="仿宋"/>
          <w:color w:val="auto"/>
          <w:szCs w:val="21"/>
        </w:rPr>
        <w:t>（1000-500）万元×0.8％=4万元</w:t>
      </w:r>
    </w:p>
    <w:p>
      <w:pPr>
        <w:ind w:firstLine="420" w:firstLineChars="200"/>
        <w:rPr>
          <w:rFonts w:hint="eastAsia" w:ascii="仿宋" w:hAnsi="仿宋" w:eastAsia="仿宋" w:cs="仿宋"/>
          <w:color w:val="auto"/>
          <w:szCs w:val="21"/>
        </w:rPr>
      </w:pPr>
      <w:r>
        <w:rPr>
          <w:rFonts w:hint="eastAsia" w:ascii="仿宋" w:hAnsi="仿宋" w:eastAsia="仿宋" w:cs="仿宋"/>
          <w:color w:val="auto"/>
          <w:szCs w:val="21"/>
        </w:rPr>
        <w:t>（5000-1000）万元×0.5％=20万元</w:t>
      </w:r>
    </w:p>
    <w:p>
      <w:pPr>
        <w:ind w:firstLine="420" w:firstLineChars="200"/>
        <w:rPr>
          <w:rFonts w:hint="eastAsia" w:ascii="仿宋" w:hAnsi="仿宋" w:eastAsia="仿宋" w:cs="仿宋"/>
          <w:color w:val="auto"/>
          <w:szCs w:val="21"/>
        </w:rPr>
      </w:pPr>
      <w:r>
        <w:rPr>
          <w:rFonts w:hint="eastAsia" w:ascii="仿宋" w:hAnsi="仿宋" w:eastAsia="仿宋" w:cs="仿宋"/>
          <w:color w:val="auto"/>
          <w:szCs w:val="21"/>
        </w:rPr>
        <w:t>（6000-5000）万元×0.25％=2.5万元</w:t>
      </w:r>
    </w:p>
    <w:p>
      <w:pPr>
        <w:ind w:firstLine="420" w:firstLineChars="200"/>
        <w:rPr>
          <w:rFonts w:hint="eastAsia" w:ascii="仿宋" w:hAnsi="仿宋" w:eastAsia="仿宋" w:cs="仿宋"/>
          <w:b/>
          <w:color w:val="auto"/>
          <w:spacing w:val="6"/>
          <w:sz w:val="32"/>
          <w:szCs w:val="32"/>
        </w:rPr>
      </w:pPr>
      <w:r>
        <w:rPr>
          <w:rFonts w:hint="eastAsia" w:ascii="仿宋" w:hAnsi="仿宋" w:eastAsia="仿宋" w:cs="仿宋"/>
          <w:color w:val="auto"/>
          <w:szCs w:val="21"/>
        </w:rPr>
        <w:t>合计收费＝1.5+4.4+4+20+2.5＝32.4万元</w:t>
      </w: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150"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150" cy="147955"/>
                      </a:xfrm>
                      <a:prstGeom prst="rect">
                        <a:avLst/>
                      </a:prstGeom>
                      <a:noFill/>
                      <a:ln>
                        <a:noFill/>
                      </a:ln>
                      <a:effectLst/>
                    </wps:spPr>
                    <wps:txbx>
                      <w:txbxContent>
                        <w:p>
                          <w:pPr>
                            <w:pStyle w:val="41"/>
                          </w:pPr>
                          <w:r>
                            <w:rPr>
                              <w:rFonts w:hint="eastAsia" w:ascii="楷体" w:eastAsia="楷体" w:cs="楷体"/>
                            </w:rPr>
                            <w:fldChar w:fldCharType="begin"/>
                          </w:r>
                          <w:r>
                            <w:rPr>
                              <w:rFonts w:hint="eastAsia" w:ascii="楷体" w:eastAsia="楷体" w:cs="楷体"/>
                            </w:rPr>
                            <w:instrText xml:space="preserve"> PAGE  \* MERGEFORMAT </w:instrText>
                          </w:r>
                          <w:r>
                            <w:rPr>
                              <w:rFonts w:hint="eastAsia" w:ascii="楷体" w:eastAsia="楷体" w:cs="楷体"/>
                            </w:rPr>
                            <w:fldChar w:fldCharType="separate"/>
                          </w:r>
                          <w:r>
                            <w:rPr>
                              <w:rFonts w:ascii="楷体" w:eastAsia="楷体" w:cs="楷体"/>
                            </w:rPr>
                            <w:t>1</w:t>
                          </w:r>
                          <w:r>
                            <w:rPr>
                              <w:rFonts w:hint="eastAsia" w:ascii="楷体" w:eastAsia="楷体" w:cs="楷体"/>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4.5pt;mso-position-horizontal:center;mso-position-horizontal-relative:margin;mso-wrap-style:none;z-index:251661312;mso-width-relative:page;mso-height-relative:page;" filled="f" stroked="f" coordsize="21600,21600" o:gfxdata="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m0JBs0AAAAAIBAAAPAAAAAAAAAAEAIAAAACIAAABkcnMv&#10;ZG93bnJldi54bWxQSwECFAAUAAAACACHTuJAtbCEuNIBAACkAwAADgAAAAAAAAABACAAAAAfAQAA&#10;ZHJzL2Uyb0RvYy54bWxQSwUGAAAAAAYABgBZAQAAYwUAAAAA&#10;">
              <v:fill on="f" focussize="0,0"/>
              <v:stroke on="f"/>
              <v:imagedata o:title=""/>
              <o:lock v:ext="edit" aspectratio="f"/>
              <v:textbox inset="0mm,0mm,0mm,0mm" style="mso-fit-shape-to-text:t;">
                <w:txbxContent>
                  <w:p>
                    <w:pPr>
                      <w:pStyle w:val="41"/>
                    </w:pPr>
                    <w:r>
                      <w:rPr>
                        <w:rFonts w:hint="eastAsia" w:ascii="楷体" w:eastAsia="楷体" w:cs="楷体"/>
                      </w:rPr>
                      <w:fldChar w:fldCharType="begin"/>
                    </w:r>
                    <w:r>
                      <w:rPr>
                        <w:rFonts w:hint="eastAsia" w:ascii="楷体" w:eastAsia="楷体" w:cs="楷体"/>
                      </w:rPr>
                      <w:instrText xml:space="preserve"> PAGE  \* MERGEFORMAT </w:instrText>
                    </w:r>
                    <w:r>
                      <w:rPr>
                        <w:rFonts w:hint="eastAsia" w:ascii="楷体" w:eastAsia="楷体" w:cs="楷体"/>
                      </w:rPr>
                      <w:fldChar w:fldCharType="separate"/>
                    </w:r>
                    <w:r>
                      <w:rPr>
                        <w:rFonts w:ascii="楷体" w:eastAsia="楷体" w:cs="楷体"/>
                      </w:rPr>
                      <w:t>1</w:t>
                    </w:r>
                    <w:r>
                      <w:rPr>
                        <w:rFonts w:hint="eastAsia" w:ascii="楷体" w:eastAsia="楷体" w:cs="楷体"/>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bookmarkStart w:id="404" w:name="_Toc36110187"/>
    <w:bookmarkStart w:id="405" w:name="_Toc91899912"/>
    <w:bookmarkStart w:id="406" w:name="_Toc164085800"/>
    <w:bookmarkStart w:id="407" w:name="_Toc131845147"/>
    <w:r>
      <w:rPr>
        <w:rFonts w:hint="eastAsia" w:ascii="仿宋_GB2312" w:eastAsia="仿宋_GB2312"/>
        <w:kern w:val="0"/>
        <w:szCs w:val="21"/>
      </w:rPr>
      <w:t xml:space="preserve"> 页</w:t>
    </w:r>
    <w:bookmarkEnd w:id="404"/>
    <w:bookmarkEnd w:id="405"/>
    <w:bookmarkEnd w:id="406"/>
    <w:bookmarkEnd w:id="40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w:t>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3E28D9"/>
    <w:multiLevelType w:val="singleLevel"/>
    <w:tmpl w:val="A03E28D9"/>
    <w:lvl w:ilvl="0" w:tentative="0">
      <w:start w:val="1"/>
      <w:numFmt w:val="decimal"/>
      <w:suff w:val="space"/>
      <w:lvlText w:val="%1."/>
      <w:lvlJc w:val="left"/>
    </w:lvl>
  </w:abstractNum>
  <w:abstractNum w:abstractNumId="1">
    <w:nsid w:val="B55A32BA"/>
    <w:multiLevelType w:val="singleLevel"/>
    <w:tmpl w:val="B55A32BA"/>
    <w:lvl w:ilvl="0" w:tentative="0">
      <w:start w:val="2"/>
      <w:numFmt w:val="chineseCounting"/>
      <w:suff w:val="nothing"/>
      <w:lvlText w:val="%1、"/>
      <w:lvlJc w:val="left"/>
      <w:rPr>
        <w:rFonts w:hint="eastAsia"/>
      </w:rPr>
    </w:lvl>
  </w:abstractNum>
  <w:abstractNum w:abstractNumId="2">
    <w:nsid w:val="165A3542"/>
    <w:multiLevelType w:val="singleLevel"/>
    <w:tmpl w:val="165A3542"/>
    <w:lvl w:ilvl="0" w:tentative="0">
      <w:start w:val="3"/>
      <w:numFmt w:val="chineseCounting"/>
      <w:suff w:val="space"/>
      <w:lvlText w:val="第%1部分"/>
      <w:lvlJc w:val="left"/>
      <w:rPr>
        <w:rFonts w:hint="eastAsia"/>
      </w:rPr>
    </w:lvl>
  </w:abstractNum>
  <w:abstractNum w:abstractNumId="3">
    <w:nsid w:val="1D1725D3"/>
    <w:multiLevelType w:val="multilevel"/>
    <w:tmpl w:val="1D1725D3"/>
    <w:lvl w:ilvl="0" w:tentative="0">
      <w:start w:val="3"/>
      <w:numFmt w:val="japaneseCounting"/>
      <w:lvlText w:val="第%1条"/>
      <w:lvlJc w:val="left"/>
      <w:pPr>
        <w:tabs>
          <w:tab w:val="left" w:pos="1400"/>
        </w:tabs>
        <w:ind w:left="1400" w:hanging="840"/>
      </w:pPr>
      <w:rPr>
        <w:rFonts w:hint="eastAsia"/>
        <w:lang w:val="en-US"/>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4">
    <w:nsid w:val="273B0BF7"/>
    <w:multiLevelType w:val="singleLevel"/>
    <w:tmpl w:val="273B0BF7"/>
    <w:lvl w:ilvl="0" w:tentative="0">
      <w:start w:val="1"/>
      <w:numFmt w:val="decimal"/>
      <w:suff w:val="nothing"/>
      <w:lvlText w:val="（%1）"/>
      <w:lvlJc w:val="left"/>
    </w:lvl>
  </w:abstractNum>
  <w:abstractNum w:abstractNumId="5">
    <w:nsid w:val="329829C9"/>
    <w:multiLevelType w:val="singleLevel"/>
    <w:tmpl w:val="329829C9"/>
    <w:lvl w:ilvl="0" w:tentative="0">
      <w:start w:val="1"/>
      <w:numFmt w:val="decimal"/>
      <w:suff w:val="nothing"/>
      <w:lvlText w:val="%1、"/>
      <w:lvlJc w:val="left"/>
    </w:lvl>
  </w:abstractNum>
  <w:abstractNum w:abstractNumId="6">
    <w:nsid w:val="6B7B19F8"/>
    <w:multiLevelType w:val="singleLevel"/>
    <w:tmpl w:val="6B7B19F8"/>
    <w:lvl w:ilvl="0" w:tentative="0">
      <w:start w:val="1"/>
      <w:numFmt w:val="decimal"/>
      <w:lvlText w:val="（%1）"/>
      <w:lvlJc w:val="left"/>
      <w:pPr>
        <w:tabs>
          <w:tab w:val="left" w:pos="705"/>
        </w:tabs>
        <w:ind w:left="705" w:hanging="705"/>
      </w:pPr>
      <w:rPr>
        <w:rFonts w:hint="eastAsia"/>
      </w:rPr>
    </w:lvl>
  </w:abstractNum>
  <w:abstractNum w:abstractNumId="7">
    <w:nsid w:val="7C493D70"/>
    <w:multiLevelType w:val="singleLevel"/>
    <w:tmpl w:val="7C493D70"/>
    <w:lvl w:ilvl="0" w:tentative="0">
      <w:start w:val="1"/>
      <w:numFmt w:val="decimal"/>
      <w:lvlText w:val="（%1）"/>
      <w:lvlJc w:val="left"/>
      <w:pPr>
        <w:tabs>
          <w:tab w:val="left" w:pos="705"/>
        </w:tabs>
        <w:ind w:left="705" w:hanging="705"/>
      </w:pPr>
      <w:rPr>
        <w:rFonts w:hint="eastAsia"/>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zODExNzQ1NGU5ZDc0OWVjMjM2MDY2NThhNmZjN2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C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461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575FB"/>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9E6"/>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139"/>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7F4"/>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23E"/>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4CC5"/>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87B7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05C9"/>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402"/>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4B64"/>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03B74"/>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3C785D"/>
    <w:rsid w:val="047902EA"/>
    <w:rsid w:val="048F763B"/>
    <w:rsid w:val="049F330E"/>
    <w:rsid w:val="04AA775C"/>
    <w:rsid w:val="04AF1889"/>
    <w:rsid w:val="04F66F48"/>
    <w:rsid w:val="04F77256"/>
    <w:rsid w:val="05251E14"/>
    <w:rsid w:val="057B7761"/>
    <w:rsid w:val="05A16594"/>
    <w:rsid w:val="05A7762D"/>
    <w:rsid w:val="060E5941"/>
    <w:rsid w:val="06110FAF"/>
    <w:rsid w:val="06493CA7"/>
    <w:rsid w:val="065A6178"/>
    <w:rsid w:val="066F1CF3"/>
    <w:rsid w:val="06930BB8"/>
    <w:rsid w:val="06E0792B"/>
    <w:rsid w:val="0702176B"/>
    <w:rsid w:val="070876D6"/>
    <w:rsid w:val="07245D42"/>
    <w:rsid w:val="07264C62"/>
    <w:rsid w:val="0779354C"/>
    <w:rsid w:val="08061376"/>
    <w:rsid w:val="08253366"/>
    <w:rsid w:val="08452D77"/>
    <w:rsid w:val="086401F8"/>
    <w:rsid w:val="08751CAA"/>
    <w:rsid w:val="087E4C40"/>
    <w:rsid w:val="08A871D0"/>
    <w:rsid w:val="08C571E9"/>
    <w:rsid w:val="08D66AD6"/>
    <w:rsid w:val="08D86946"/>
    <w:rsid w:val="08DA33A3"/>
    <w:rsid w:val="08E80F13"/>
    <w:rsid w:val="09335624"/>
    <w:rsid w:val="0944690F"/>
    <w:rsid w:val="09535675"/>
    <w:rsid w:val="095E7BDD"/>
    <w:rsid w:val="095F057D"/>
    <w:rsid w:val="09642282"/>
    <w:rsid w:val="09733572"/>
    <w:rsid w:val="09772C16"/>
    <w:rsid w:val="098353B5"/>
    <w:rsid w:val="09A92330"/>
    <w:rsid w:val="09B06B87"/>
    <w:rsid w:val="09C13146"/>
    <w:rsid w:val="09E04166"/>
    <w:rsid w:val="0A0D638C"/>
    <w:rsid w:val="0A1C0718"/>
    <w:rsid w:val="0A3E7710"/>
    <w:rsid w:val="0A5B7E63"/>
    <w:rsid w:val="0AA374A5"/>
    <w:rsid w:val="0AAB7649"/>
    <w:rsid w:val="0ABC5606"/>
    <w:rsid w:val="0B30404E"/>
    <w:rsid w:val="0B3B32E1"/>
    <w:rsid w:val="0B4B60CB"/>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14386"/>
    <w:rsid w:val="0CC617AC"/>
    <w:rsid w:val="0CE618DF"/>
    <w:rsid w:val="0CFE707A"/>
    <w:rsid w:val="0D063BDA"/>
    <w:rsid w:val="0D08375F"/>
    <w:rsid w:val="0D184CFB"/>
    <w:rsid w:val="0D2D2D0E"/>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3A24D7"/>
    <w:rsid w:val="0F4958DC"/>
    <w:rsid w:val="0F515DF7"/>
    <w:rsid w:val="0F596BA8"/>
    <w:rsid w:val="0F6248D2"/>
    <w:rsid w:val="0F693536"/>
    <w:rsid w:val="0F7B0511"/>
    <w:rsid w:val="0F7B76D9"/>
    <w:rsid w:val="0F816ACD"/>
    <w:rsid w:val="0F840B40"/>
    <w:rsid w:val="0F9832DB"/>
    <w:rsid w:val="0FBF3FD2"/>
    <w:rsid w:val="0FBF7FF3"/>
    <w:rsid w:val="0FE93454"/>
    <w:rsid w:val="10044A9B"/>
    <w:rsid w:val="10646583"/>
    <w:rsid w:val="107D4B15"/>
    <w:rsid w:val="108A3C80"/>
    <w:rsid w:val="10953945"/>
    <w:rsid w:val="10A40E35"/>
    <w:rsid w:val="10C26171"/>
    <w:rsid w:val="10F33360"/>
    <w:rsid w:val="10FC16EA"/>
    <w:rsid w:val="110F1D40"/>
    <w:rsid w:val="11266F33"/>
    <w:rsid w:val="11301FEB"/>
    <w:rsid w:val="114C2338"/>
    <w:rsid w:val="118963A1"/>
    <w:rsid w:val="11C6522A"/>
    <w:rsid w:val="11E104CC"/>
    <w:rsid w:val="11E20309"/>
    <w:rsid w:val="12255233"/>
    <w:rsid w:val="12457393"/>
    <w:rsid w:val="12530213"/>
    <w:rsid w:val="127723A9"/>
    <w:rsid w:val="12862074"/>
    <w:rsid w:val="12883966"/>
    <w:rsid w:val="129220FD"/>
    <w:rsid w:val="12986875"/>
    <w:rsid w:val="129E45B4"/>
    <w:rsid w:val="12D1773B"/>
    <w:rsid w:val="12D81596"/>
    <w:rsid w:val="13021765"/>
    <w:rsid w:val="13072A44"/>
    <w:rsid w:val="135B2C24"/>
    <w:rsid w:val="135F4BE2"/>
    <w:rsid w:val="138F0B1F"/>
    <w:rsid w:val="139A5ADB"/>
    <w:rsid w:val="139B1A0A"/>
    <w:rsid w:val="139D25C7"/>
    <w:rsid w:val="13BF3CE4"/>
    <w:rsid w:val="140402D7"/>
    <w:rsid w:val="141008D8"/>
    <w:rsid w:val="14125FE6"/>
    <w:rsid w:val="146D271E"/>
    <w:rsid w:val="14982588"/>
    <w:rsid w:val="149A5AD9"/>
    <w:rsid w:val="14A7619D"/>
    <w:rsid w:val="150536C3"/>
    <w:rsid w:val="150C1963"/>
    <w:rsid w:val="151447A0"/>
    <w:rsid w:val="154A6454"/>
    <w:rsid w:val="15762120"/>
    <w:rsid w:val="15D0664A"/>
    <w:rsid w:val="15E47DE8"/>
    <w:rsid w:val="15EA70AD"/>
    <w:rsid w:val="16064831"/>
    <w:rsid w:val="16A8729C"/>
    <w:rsid w:val="16B33777"/>
    <w:rsid w:val="16BC70A7"/>
    <w:rsid w:val="16C6339E"/>
    <w:rsid w:val="172F2D79"/>
    <w:rsid w:val="17371DE5"/>
    <w:rsid w:val="174636D5"/>
    <w:rsid w:val="17557BEF"/>
    <w:rsid w:val="17D349C1"/>
    <w:rsid w:val="18244F26"/>
    <w:rsid w:val="1830729E"/>
    <w:rsid w:val="1870062C"/>
    <w:rsid w:val="18817102"/>
    <w:rsid w:val="18830A15"/>
    <w:rsid w:val="18852B28"/>
    <w:rsid w:val="188B5321"/>
    <w:rsid w:val="18D84DA8"/>
    <w:rsid w:val="19565056"/>
    <w:rsid w:val="197B7B7C"/>
    <w:rsid w:val="19932372"/>
    <w:rsid w:val="19A20DD5"/>
    <w:rsid w:val="19AE03F1"/>
    <w:rsid w:val="19AF0C44"/>
    <w:rsid w:val="1A071A03"/>
    <w:rsid w:val="1A156A7B"/>
    <w:rsid w:val="1A1F16AE"/>
    <w:rsid w:val="1A2136B6"/>
    <w:rsid w:val="1A3B5C77"/>
    <w:rsid w:val="1A626AD9"/>
    <w:rsid w:val="1A7E355A"/>
    <w:rsid w:val="1A984BAD"/>
    <w:rsid w:val="1AB8220E"/>
    <w:rsid w:val="1AE4166C"/>
    <w:rsid w:val="1AF06CFB"/>
    <w:rsid w:val="1AF11B8D"/>
    <w:rsid w:val="1B11359C"/>
    <w:rsid w:val="1B2A271F"/>
    <w:rsid w:val="1B3C333B"/>
    <w:rsid w:val="1B494B83"/>
    <w:rsid w:val="1B4C7393"/>
    <w:rsid w:val="1B530544"/>
    <w:rsid w:val="1B6865DB"/>
    <w:rsid w:val="1B713184"/>
    <w:rsid w:val="1BA209CF"/>
    <w:rsid w:val="1BB4777D"/>
    <w:rsid w:val="1BD75AB8"/>
    <w:rsid w:val="1C0459C2"/>
    <w:rsid w:val="1C1425F4"/>
    <w:rsid w:val="1C1B3B4A"/>
    <w:rsid w:val="1C88086E"/>
    <w:rsid w:val="1CDC0016"/>
    <w:rsid w:val="1CE73468"/>
    <w:rsid w:val="1D266CE1"/>
    <w:rsid w:val="1D3963AF"/>
    <w:rsid w:val="1D6A673C"/>
    <w:rsid w:val="1D6F54DB"/>
    <w:rsid w:val="1D9247AE"/>
    <w:rsid w:val="1DA50519"/>
    <w:rsid w:val="1DAB7439"/>
    <w:rsid w:val="1DB567EC"/>
    <w:rsid w:val="1DDF7CE7"/>
    <w:rsid w:val="1DF51A98"/>
    <w:rsid w:val="1E051CD9"/>
    <w:rsid w:val="1E3D060F"/>
    <w:rsid w:val="1E3F7D2E"/>
    <w:rsid w:val="1E4134E4"/>
    <w:rsid w:val="1E5062B3"/>
    <w:rsid w:val="1E523514"/>
    <w:rsid w:val="1E714A66"/>
    <w:rsid w:val="1E802593"/>
    <w:rsid w:val="1E8B6156"/>
    <w:rsid w:val="1EA703CC"/>
    <w:rsid w:val="1EB7330C"/>
    <w:rsid w:val="1EC65C53"/>
    <w:rsid w:val="1EFE19D9"/>
    <w:rsid w:val="1F0A0FF3"/>
    <w:rsid w:val="1F5771FF"/>
    <w:rsid w:val="1FD52574"/>
    <w:rsid w:val="1FE868A9"/>
    <w:rsid w:val="20034907"/>
    <w:rsid w:val="20173E4B"/>
    <w:rsid w:val="204E48BC"/>
    <w:rsid w:val="208921B3"/>
    <w:rsid w:val="20973DEB"/>
    <w:rsid w:val="20B26522"/>
    <w:rsid w:val="20B44310"/>
    <w:rsid w:val="211116EB"/>
    <w:rsid w:val="216133FC"/>
    <w:rsid w:val="21D20B1C"/>
    <w:rsid w:val="21D56769"/>
    <w:rsid w:val="21E52EF3"/>
    <w:rsid w:val="21FB5D7B"/>
    <w:rsid w:val="22015E94"/>
    <w:rsid w:val="220B1C3D"/>
    <w:rsid w:val="221D1D20"/>
    <w:rsid w:val="22334A87"/>
    <w:rsid w:val="224156DA"/>
    <w:rsid w:val="226E2973"/>
    <w:rsid w:val="227C56E4"/>
    <w:rsid w:val="22BE6801"/>
    <w:rsid w:val="233500BF"/>
    <w:rsid w:val="23377FF7"/>
    <w:rsid w:val="236B425F"/>
    <w:rsid w:val="23836192"/>
    <w:rsid w:val="23901F29"/>
    <w:rsid w:val="239C0061"/>
    <w:rsid w:val="23AC72D4"/>
    <w:rsid w:val="23B908A4"/>
    <w:rsid w:val="23E95BEF"/>
    <w:rsid w:val="23EB4C4B"/>
    <w:rsid w:val="23FD0064"/>
    <w:rsid w:val="24434087"/>
    <w:rsid w:val="245375B0"/>
    <w:rsid w:val="245A4A6F"/>
    <w:rsid w:val="24642C0A"/>
    <w:rsid w:val="24B22173"/>
    <w:rsid w:val="24B95AD9"/>
    <w:rsid w:val="24BE24DA"/>
    <w:rsid w:val="24CF5825"/>
    <w:rsid w:val="24D663E6"/>
    <w:rsid w:val="24D77F2B"/>
    <w:rsid w:val="250749B9"/>
    <w:rsid w:val="258B00E2"/>
    <w:rsid w:val="25A917A6"/>
    <w:rsid w:val="25B10B02"/>
    <w:rsid w:val="25BE27CC"/>
    <w:rsid w:val="25CA57D2"/>
    <w:rsid w:val="25E92311"/>
    <w:rsid w:val="25F2465F"/>
    <w:rsid w:val="25F74A5C"/>
    <w:rsid w:val="25F948BA"/>
    <w:rsid w:val="2628662C"/>
    <w:rsid w:val="262D45DE"/>
    <w:rsid w:val="267C2AE1"/>
    <w:rsid w:val="26871DC8"/>
    <w:rsid w:val="268C786C"/>
    <w:rsid w:val="26A53EF9"/>
    <w:rsid w:val="26A94201"/>
    <w:rsid w:val="26AC274F"/>
    <w:rsid w:val="27021D65"/>
    <w:rsid w:val="27032D56"/>
    <w:rsid w:val="27044A29"/>
    <w:rsid w:val="271D34C8"/>
    <w:rsid w:val="2759240E"/>
    <w:rsid w:val="276142BF"/>
    <w:rsid w:val="276F4A98"/>
    <w:rsid w:val="27783712"/>
    <w:rsid w:val="27907362"/>
    <w:rsid w:val="27A9467E"/>
    <w:rsid w:val="28325AF1"/>
    <w:rsid w:val="28333E1D"/>
    <w:rsid w:val="2845437F"/>
    <w:rsid w:val="28454BD6"/>
    <w:rsid w:val="28455253"/>
    <w:rsid w:val="28551971"/>
    <w:rsid w:val="285B1C53"/>
    <w:rsid w:val="285C501C"/>
    <w:rsid w:val="289F7086"/>
    <w:rsid w:val="28C32028"/>
    <w:rsid w:val="28CC490F"/>
    <w:rsid w:val="28DE40AA"/>
    <w:rsid w:val="29062FF7"/>
    <w:rsid w:val="29345E77"/>
    <w:rsid w:val="294C65AD"/>
    <w:rsid w:val="29806583"/>
    <w:rsid w:val="298B3C4C"/>
    <w:rsid w:val="29F26D24"/>
    <w:rsid w:val="2A15033F"/>
    <w:rsid w:val="2A1662C1"/>
    <w:rsid w:val="2A1C7367"/>
    <w:rsid w:val="2A2815FA"/>
    <w:rsid w:val="2A6D6092"/>
    <w:rsid w:val="2A7D76B4"/>
    <w:rsid w:val="2AA437DD"/>
    <w:rsid w:val="2AC670C5"/>
    <w:rsid w:val="2B052A32"/>
    <w:rsid w:val="2B410523"/>
    <w:rsid w:val="2B437463"/>
    <w:rsid w:val="2B7807EE"/>
    <w:rsid w:val="2BA50BF7"/>
    <w:rsid w:val="2BBF00EC"/>
    <w:rsid w:val="2BC14B51"/>
    <w:rsid w:val="2BC37CFD"/>
    <w:rsid w:val="2BD5237F"/>
    <w:rsid w:val="2BE536CE"/>
    <w:rsid w:val="2BE758D9"/>
    <w:rsid w:val="2BF346BB"/>
    <w:rsid w:val="2C09049E"/>
    <w:rsid w:val="2C0A653C"/>
    <w:rsid w:val="2C191F85"/>
    <w:rsid w:val="2C7548FE"/>
    <w:rsid w:val="2CE82D6F"/>
    <w:rsid w:val="2D343236"/>
    <w:rsid w:val="2D3C02EB"/>
    <w:rsid w:val="2D575011"/>
    <w:rsid w:val="2DB84065"/>
    <w:rsid w:val="2DD15014"/>
    <w:rsid w:val="2DF72DE4"/>
    <w:rsid w:val="2E0220AF"/>
    <w:rsid w:val="2E494CD9"/>
    <w:rsid w:val="2E4B082A"/>
    <w:rsid w:val="2E5D4E86"/>
    <w:rsid w:val="2E5D790B"/>
    <w:rsid w:val="2E9A3C18"/>
    <w:rsid w:val="2EBB0FEE"/>
    <w:rsid w:val="2EC63002"/>
    <w:rsid w:val="2ECA37FB"/>
    <w:rsid w:val="2F0A6B38"/>
    <w:rsid w:val="2F146650"/>
    <w:rsid w:val="2F495AD7"/>
    <w:rsid w:val="2F946CCB"/>
    <w:rsid w:val="2FD25781"/>
    <w:rsid w:val="2FDC745C"/>
    <w:rsid w:val="2FFD7934"/>
    <w:rsid w:val="30733ACD"/>
    <w:rsid w:val="308C3862"/>
    <w:rsid w:val="309379D8"/>
    <w:rsid w:val="30A270F7"/>
    <w:rsid w:val="30DF1478"/>
    <w:rsid w:val="30EC586F"/>
    <w:rsid w:val="3184130A"/>
    <w:rsid w:val="319C6071"/>
    <w:rsid w:val="31AC537E"/>
    <w:rsid w:val="31E3679B"/>
    <w:rsid w:val="31E732FD"/>
    <w:rsid w:val="320E0106"/>
    <w:rsid w:val="32412581"/>
    <w:rsid w:val="324D516E"/>
    <w:rsid w:val="32517576"/>
    <w:rsid w:val="32BE5C2C"/>
    <w:rsid w:val="32DA7E47"/>
    <w:rsid w:val="32FB6478"/>
    <w:rsid w:val="33263B3F"/>
    <w:rsid w:val="336963EB"/>
    <w:rsid w:val="336B6ED1"/>
    <w:rsid w:val="33816EEB"/>
    <w:rsid w:val="339F4C7D"/>
    <w:rsid w:val="33EB55CD"/>
    <w:rsid w:val="33EC4C02"/>
    <w:rsid w:val="340D2360"/>
    <w:rsid w:val="3410665D"/>
    <w:rsid w:val="34211214"/>
    <w:rsid w:val="342E63AB"/>
    <w:rsid w:val="34784F8C"/>
    <w:rsid w:val="34950E68"/>
    <w:rsid w:val="34986E94"/>
    <w:rsid w:val="34AF62C9"/>
    <w:rsid w:val="34CB4388"/>
    <w:rsid w:val="34D6485D"/>
    <w:rsid w:val="34FA6E12"/>
    <w:rsid w:val="351209F1"/>
    <w:rsid w:val="352B085D"/>
    <w:rsid w:val="354D7158"/>
    <w:rsid w:val="358D5588"/>
    <w:rsid w:val="35B2271F"/>
    <w:rsid w:val="35CF507F"/>
    <w:rsid w:val="363A3B40"/>
    <w:rsid w:val="365302AE"/>
    <w:rsid w:val="36607A0A"/>
    <w:rsid w:val="366E227C"/>
    <w:rsid w:val="366F2E0D"/>
    <w:rsid w:val="36746F6F"/>
    <w:rsid w:val="367B6A5C"/>
    <w:rsid w:val="36A74ADA"/>
    <w:rsid w:val="36AD60D5"/>
    <w:rsid w:val="36B224F9"/>
    <w:rsid w:val="36DC45F1"/>
    <w:rsid w:val="36EC0CC9"/>
    <w:rsid w:val="373122E8"/>
    <w:rsid w:val="37380DC9"/>
    <w:rsid w:val="373F410B"/>
    <w:rsid w:val="374C03F0"/>
    <w:rsid w:val="376B527C"/>
    <w:rsid w:val="37EE7094"/>
    <w:rsid w:val="381D620C"/>
    <w:rsid w:val="38296C89"/>
    <w:rsid w:val="383002EB"/>
    <w:rsid w:val="38586797"/>
    <w:rsid w:val="385D15DF"/>
    <w:rsid w:val="38BC0149"/>
    <w:rsid w:val="38D87D1C"/>
    <w:rsid w:val="3921458E"/>
    <w:rsid w:val="39636459"/>
    <w:rsid w:val="396B7F6C"/>
    <w:rsid w:val="398C10E2"/>
    <w:rsid w:val="39946F33"/>
    <w:rsid w:val="39B417A9"/>
    <w:rsid w:val="39FC5695"/>
    <w:rsid w:val="3A006D8E"/>
    <w:rsid w:val="3A3651E5"/>
    <w:rsid w:val="3A744481"/>
    <w:rsid w:val="3A8C7BEF"/>
    <w:rsid w:val="3A906246"/>
    <w:rsid w:val="3AF161F5"/>
    <w:rsid w:val="3AF81008"/>
    <w:rsid w:val="3B2349B7"/>
    <w:rsid w:val="3B616CFF"/>
    <w:rsid w:val="3B6259F6"/>
    <w:rsid w:val="3B976654"/>
    <w:rsid w:val="3BC01EFC"/>
    <w:rsid w:val="3BCA786A"/>
    <w:rsid w:val="3BCB3FF7"/>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CE0BAE"/>
    <w:rsid w:val="3DE041CB"/>
    <w:rsid w:val="3E0D48F6"/>
    <w:rsid w:val="3E1868B4"/>
    <w:rsid w:val="3E377251"/>
    <w:rsid w:val="3E42664B"/>
    <w:rsid w:val="3E5A7334"/>
    <w:rsid w:val="3E730EFE"/>
    <w:rsid w:val="3E7B5D6B"/>
    <w:rsid w:val="3E843E66"/>
    <w:rsid w:val="3E8F51FE"/>
    <w:rsid w:val="3E926F87"/>
    <w:rsid w:val="3E9A59DE"/>
    <w:rsid w:val="3EAF4836"/>
    <w:rsid w:val="3EB90436"/>
    <w:rsid w:val="3EC33DFA"/>
    <w:rsid w:val="3F060E16"/>
    <w:rsid w:val="3F1D1096"/>
    <w:rsid w:val="3F2F0234"/>
    <w:rsid w:val="3F3F65AD"/>
    <w:rsid w:val="3F6363FE"/>
    <w:rsid w:val="3F756B8F"/>
    <w:rsid w:val="3F95482B"/>
    <w:rsid w:val="4019356B"/>
    <w:rsid w:val="40592157"/>
    <w:rsid w:val="405D2655"/>
    <w:rsid w:val="406E1CAE"/>
    <w:rsid w:val="40A0133A"/>
    <w:rsid w:val="40A06146"/>
    <w:rsid w:val="40AC70B9"/>
    <w:rsid w:val="40C31A53"/>
    <w:rsid w:val="40FF545D"/>
    <w:rsid w:val="410067C8"/>
    <w:rsid w:val="410F49D4"/>
    <w:rsid w:val="417967E7"/>
    <w:rsid w:val="418F0D2A"/>
    <w:rsid w:val="41C55588"/>
    <w:rsid w:val="41D01505"/>
    <w:rsid w:val="42474939"/>
    <w:rsid w:val="424C3C57"/>
    <w:rsid w:val="42613FF3"/>
    <w:rsid w:val="42660D96"/>
    <w:rsid w:val="428667D2"/>
    <w:rsid w:val="42CD1CE0"/>
    <w:rsid w:val="42E1381E"/>
    <w:rsid w:val="42ED6459"/>
    <w:rsid w:val="42FE58DD"/>
    <w:rsid w:val="43174B3D"/>
    <w:rsid w:val="4348021F"/>
    <w:rsid w:val="434B790E"/>
    <w:rsid w:val="4360274F"/>
    <w:rsid w:val="43977AB6"/>
    <w:rsid w:val="43A3342B"/>
    <w:rsid w:val="43C77C27"/>
    <w:rsid w:val="43DE09EE"/>
    <w:rsid w:val="44002FAD"/>
    <w:rsid w:val="441507A1"/>
    <w:rsid w:val="449101DD"/>
    <w:rsid w:val="44DE1391"/>
    <w:rsid w:val="44F01EAF"/>
    <w:rsid w:val="45184A87"/>
    <w:rsid w:val="451B225C"/>
    <w:rsid w:val="452410C9"/>
    <w:rsid w:val="45317DFB"/>
    <w:rsid w:val="45405D7F"/>
    <w:rsid w:val="45637592"/>
    <w:rsid w:val="456D3CE4"/>
    <w:rsid w:val="456E6B63"/>
    <w:rsid w:val="4579042C"/>
    <w:rsid w:val="457F0571"/>
    <w:rsid w:val="45851176"/>
    <w:rsid w:val="45C63B94"/>
    <w:rsid w:val="460E7DA5"/>
    <w:rsid w:val="46422483"/>
    <w:rsid w:val="4659254A"/>
    <w:rsid w:val="465B0637"/>
    <w:rsid w:val="465E3F0D"/>
    <w:rsid w:val="466A16E6"/>
    <w:rsid w:val="46893F2B"/>
    <w:rsid w:val="46C4686E"/>
    <w:rsid w:val="46D37817"/>
    <w:rsid w:val="46D86BA4"/>
    <w:rsid w:val="477B778F"/>
    <w:rsid w:val="478203EC"/>
    <w:rsid w:val="47B025FA"/>
    <w:rsid w:val="47D20B55"/>
    <w:rsid w:val="47EF15B1"/>
    <w:rsid w:val="4809698F"/>
    <w:rsid w:val="4811697D"/>
    <w:rsid w:val="487A3E25"/>
    <w:rsid w:val="48825CB0"/>
    <w:rsid w:val="488B5503"/>
    <w:rsid w:val="48937E21"/>
    <w:rsid w:val="489A0361"/>
    <w:rsid w:val="48B94FF3"/>
    <w:rsid w:val="48CC18F2"/>
    <w:rsid w:val="48E37AAB"/>
    <w:rsid w:val="48FD4B4C"/>
    <w:rsid w:val="490A68E0"/>
    <w:rsid w:val="491055FE"/>
    <w:rsid w:val="49437E06"/>
    <w:rsid w:val="495F5B3E"/>
    <w:rsid w:val="496F77D7"/>
    <w:rsid w:val="497654FD"/>
    <w:rsid w:val="49B64211"/>
    <w:rsid w:val="49F6167F"/>
    <w:rsid w:val="4A064FA0"/>
    <w:rsid w:val="4A16615C"/>
    <w:rsid w:val="4A3C0AC7"/>
    <w:rsid w:val="4A4424D7"/>
    <w:rsid w:val="4AB82D0F"/>
    <w:rsid w:val="4AD60806"/>
    <w:rsid w:val="4AEA1B36"/>
    <w:rsid w:val="4AEB7664"/>
    <w:rsid w:val="4AFD3FE5"/>
    <w:rsid w:val="4AFD7C19"/>
    <w:rsid w:val="4B0567D1"/>
    <w:rsid w:val="4B236AAE"/>
    <w:rsid w:val="4B4003C5"/>
    <w:rsid w:val="4B707271"/>
    <w:rsid w:val="4B810772"/>
    <w:rsid w:val="4B87527B"/>
    <w:rsid w:val="4B9739F7"/>
    <w:rsid w:val="4BD121C5"/>
    <w:rsid w:val="4BEE2503"/>
    <w:rsid w:val="4C245A30"/>
    <w:rsid w:val="4C871DB8"/>
    <w:rsid w:val="4CAE158F"/>
    <w:rsid w:val="4CB6685F"/>
    <w:rsid w:val="4CC367FE"/>
    <w:rsid w:val="4CE84F2B"/>
    <w:rsid w:val="4D077F3C"/>
    <w:rsid w:val="4D123355"/>
    <w:rsid w:val="4D2A3B31"/>
    <w:rsid w:val="4D312C52"/>
    <w:rsid w:val="4D4128AF"/>
    <w:rsid w:val="4D905305"/>
    <w:rsid w:val="4D964A72"/>
    <w:rsid w:val="4D97538E"/>
    <w:rsid w:val="4D9C1254"/>
    <w:rsid w:val="4E30647F"/>
    <w:rsid w:val="4E793892"/>
    <w:rsid w:val="4E800872"/>
    <w:rsid w:val="4EAC3D58"/>
    <w:rsid w:val="4EC569ED"/>
    <w:rsid w:val="4ED50EA1"/>
    <w:rsid w:val="4EEC050C"/>
    <w:rsid w:val="4F104EC3"/>
    <w:rsid w:val="4F337FD5"/>
    <w:rsid w:val="4F47354A"/>
    <w:rsid w:val="4F911C54"/>
    <w:rsid w:val="4F9A1DAF"/>
    <w:rsid w:val="4FE625E0"/>
    <w:rsid w:val="50211B71"/>
    <w:rsid w:val="5021480F"/>
    <w:rsid w:val="50962ECB"/>
    <w:rsid w:val="50A42E38"/>
    <w:rsid w:val="50A4577F"/>
    <w:rsid w:val="50B73D1F"/>
    <w:rsid w:val="50BD5BC9"/>
    <w:rsid w:val="50C11EEE"/>
    <w:rsid w:val="50E97CFC"/>
    <w:rsid w:val="50FA4028"/>
    <w:rsid w:val="510D65B7"/>
    <w:rsid w:val="511157AB"/>
    <w:rsid w:val="51283F24"/>
    <w:rsid w:val="5142540C"/>
    <w:rsid w:val="5162713C"/>
    <w:rsid w:val="518832C8"/>
    <w:rsid w:val="519D3C50"/>
    <w:rsid w:val="51A0432A"/>
    <w:rsid w:val="51A0472B"/>
    <w:rsid w:val="51A11B6E"/>
    <w:rsid w:val="51A86090"/>
    <w:rsid w:val="51B7396D"/>
    <w:rsid w:val="51F31FFB"/>
    <w:rsid w:val="522E4CC3"/>
    <w:rsid w:val="5244713B"/>
    <w:rsid w:val="526130AB"/>
    <w:rsid w:val="52615633"/>
    <w:rsid w:val="526F4DE4"/>
    <w:rsid w:val="52862CBC"/>
    <w:rsid w:val="52977FD4"/>
    <w:rsid w:val="52A25790"/>
    <w:rsid w:val="52A96B6F"/>
    <w:rsid w:val="52B45975"/>
    <w:rsid w:val="52D94AA4"/>
    <w:rsid w:val="52EA3A62"/>
    <w:rsid w:val="52F50BB8"/>
    <w:rsid w:val="53097272"/>
    <w:rsid w:val="534F55FA"/>
    <w:rsid w:val="53544462"/>
    <w:rsid w:val="5397158E"/>
    <w:rsid w:val="53984811"/>
    <w:rsid w:val="53CF08F5"/>
    <w:rsid w:val="53F22EE5"/>
    <w:rsid w:val="54013861"/>
    <w:rsid w:val="54487265"/>
    <w:rsid w:val="544D6070"/>
    <w:rsid w:val="54605E1E"/>
    <w:rsid w:val="548D462B"/>
    <w:rsid w:val="54B3506A"/>
    <w:rsid w:val="54B92B9F"/>
    <w:rsid w:val="54CA0D16"/>
    <w:rsid w:val="54DD4057"/>
    <w:rsid w:val="54E7490F"/>
    <w:rsid w:val="550764A4"/>
    <w:rsid w:val="550B2BF6"/>
    <w:rsid w:val="55214EB5"/>
    <w:rsid w:val="55364EFD"/>
    <w:rsid w:val="555D4828"/>
    <w:rsid w:val="55757C92"/>
    <w:rsid w:val="557A4C8B"/>
    <w:rsid w:val="558931E1"/>
    <w:rsid w:val="55923347"/>
    <w:rsid w:val="55925180"/>
    <w:rsid w:val="55983B1B"/>
    <w:rsid w:val="55A8376B"/>
    <w:rsid w:val="55C711BE"/>
    <w:rsid w:val="55DC29B6"/>
    <w:rsid w:val="55DD4241"/>
    <w:rsid w:val="55F01A8B"/>
    <w:rsid w:val="566B6D1E"/>
    <w:rsid w:val="56835CE6"/>
    <w:rsid w:val="568D58BE"/>
    <w:rsid w:val="568F660A"/>
    <w:rsid w:val="57032A2C"/>
    <w:rsid w:val="570F5219"/>
    <w:rsid w:val="574A05B2"/>
    <w:rsid w:val="575D12B5"/>
    <w:rsid w:val="57610A87"/>
    <w:rsid w:val="577B1140"/>
    <w:rsid w:val="577B7F21"/>
    <w:rsid w:val="577F181B"/>
    <w:rsid w:val="57921984"/>
    <w:rsid w:val="579737F0"/>
    <w:rsid w:val="57AB7B30"/>
    <w:rsid w:val="57AF5251"/>
    <w:rsid w:val="57B26373"/>
    <w:rsid w:val="57B63F04"/>
    <w:rsid w:val="57BD0D84"/>
    <w:rsid w:val="57C71C02"/>
    <w:rsid w:val="57CD20C2"/>
    <w:rsid w:val="57D675AB"/>
    <w:rsid w:val="57D73717"/>
    <w:rsid w:val="57D95FDD"/>
    <w:rsid w:val="58917D2F"/>
    <w:rsid w:val="5894085C"/>
    <w:rsid w:val="58A00D4C"/>
    <w:rsid w:val="58AE4F0C"/>
    <w:rsid w:val="58B85899"/>
    <w:rsid w:val="58E363A9"/>
    <w:rsid w:val="59166304"/>
    <w:rsid w:val="595E1678"/>
    <w:rsid w:val="596D5BD4"/>
    <w:rsid w:val="597E3DD8"/>
    <w:rsid w:val="59975042"/>
    <w:rsid w:val="59F80043"/>
    <w:rsid w:val="5A09252F"/>
    <w:rsid w:val="5A0B2778"/>
    <w:rsid w:val="5A2A7C7B"/>
    <w:rsid w:val="5A33357F"/>
    <w:rsid w:val="5A3E2560"/>
    <w:rsid w:val="5A5D3B6E"/>
    <w:rsid w:val="5A637A76"/>
    <w:rsid w:val="5A6D33BA"/>
    <w:rsid w:val="5A712B48"/>
    <w:rsid w:val="5A792B1F"/>
    <w:rsid w:val="5A874767"/>
    <w:rsid w:val="5AA85BE2"/>
    <w:rsid w:val="5AAD6F28"/>
    <w:rsid w:val="5AD63A24"/>
    <w:rsid w:val="5B2E1A1D"/>
    <w:rsid w:val="5B4459CD"/>
    <w:rsid w:val="5B843A1C"/>
    <w:rsid w:val="5B873E3F"/>
    <w:rsid w:val="5BD92F82"/>
    <w:rsid w:val="5C02690E"/>
    <w:rsid w:val="5C196DA7"/>
    <w:rsid w:val="5C2A048C"/>
    <w:rsid w:val="5C657D92"/>
    <w:rsid w:val="5C7560D1"/>
    <w:rsid w:val="5C80234E"/>
    <w:rsid w:val="5C8A680C"/>
    <w:rsid w:val="5D0C4701"/>
    <w:rsid w:val="5D0F0395"/>
    <w:rsid w:val="5D221076"/>
    <w:rsid w:val="5D397964"/>
    <w:rsid w:val="5D5A391C"/>
    <w:rsid w:val="5D5F10C0"/>
    <w:rsid w:val="5D6F2B20"/>
    <w:rsid w:val="5D891B7B"/>
    <w:rsid w:val="5DAD38EE"/>
    <w:rsid w:val="5DE75433"/>
    <w:rsid w:val="5E006862"/>
    <w:rsid w:val="5E0207B9"/>
    <w:rsid w:val="5E1834A1"/>
    <w:rsid w:val="5E23390B"/>
    <w:rsid w:val="5E261785"/>
    <w:rsid w:val="5E3D49CC"/>
    <w:rsid w:val="5E4A7017"/>
    <w:rsid w:val="5E4F5691"/>
    <w:rsid w:val="5E552BBA"/>
    <w:rsid w:val="5E611C10"/>
    <w:rsid w:val="5E7A0F3F"/>
    <w:rsid w:val="5EFC7377"/>
    <w:rsid w:val="5F06174D"/>
    <w:rsid w:val="5F0A577B"/>
    <w:rsid w:val="5F1F7A66"/>
    <w:rsid w:val="5F3A3602"/>
    <w:rsid w:val="5F3A53B0"/>
    <w:rsid w:val="5F45733B"/>
    <w:rsid w:val="5F6277C6"/>
    <w:rsid w:val="5F6D0B1D"/>
    <w:rsid w:val="5F8D0B82"/>
    <w:rsid w:val="5FCC5339"/>
    <w:rsid w:val="5FE34A5B"/>
    <w:rsid w:val="5FFE1E36"/>
    <w:rsid w:val="60232584"/>
    <w:rsid w:val="607330CE"/>
    <w:rsid w:val="60825176"/>
    <w:rsid w:val="609F2AC4"/>
    <w:rsid w:val="60F6604E"/>
    <w:rsid w:val="60FA2EE8"/>
    <w:rsid w:val="61054A27"/>
    <w:rsid w:val="610A52BC"/>
    <w:rsid w:val="611D2366"/>
    <w:rsid w:val="61421856"/>
    <w:rsid w:val="61474CB9"/>
    <w:rsid w:val="615227C4"/>
    <w:rsid w:val="61654E3F"/>
    <w:rsid w:val="6182292A"/>
    <w:rsid w:val="619F7F92"/>
    <w:rsid w:val="61F335F4"/>
    <w:rsid w:val="61F94C26"/>
    <w:rsid w:val="62000E56"/>
    <w:rsid w:val="623923D4"/>
    <w:rsid w:val="624F3E49"/>
    <w:rsid w:val="62632286"/>
    <w:rsid w:val="62784BFA"/>
    <w:rsid w:val="62885958"/>
    <w:rsid w:val="62F40B65"/>
    <w:rsid w:val="62FC2CFE"/>
    <w:rsid w:val="63024505"/>
    <w:rsid w:val="6320666B"/>
    <w:rsid w:val="632B573B"/>
    <w:rsid w:val="634E142A"/>
    <w:rsid w:val="635600A5"/>
    <w:rsid w:val="635B1DB5"/>
    <w:rsid w:val="63711FED"/>
    <w:rsid w:val="63880DDC"/>
    <w:rsid w:val="638D750D"/>
    <w:rsid w:val="63AC6CC0"/>
    <w:rsid w:val="64055776"/>
    <w:rsid w:val="64240056"/>
    <w:rsid w:val="643E143A"/>
    <w:rsid w:val="64491666"/>
    <w:rsid w:val="648B6EEF"/>
    <w:rsid w:val="64C158BF"/>
    <w:rsid w:val="64CE2EAA"/>
    <w:rsid w:val="65130235"/>
    <w:rsid w:val="653C3090"/>
    <w:rsid w:val="65854376"/>
    <w:rsid w:val="658767BE"/>
    <w:rsid w:val="65892531"/>
    <w:rsid w:val="66195831"/>
    <w:rsid w:val="662E75B1"/>
    <w:rsid w:val="66342C2E"/>
    <w:rsid w:val="663E784C"/>
    <w:rsid w:val="667165ED"/>
    <w:rsid w:val="668B6A45"/>
    <w:rsid w:val="672C7F92"/>
    <w:rsid w:val="672F3F24"/>
    <w:rsid w:val="673E055F"/>
    <w:rsid w:val="67551CE3"/>
    <w:rsid w:val="67A22552"/>
    <w:rsid w:val="67B22DCC"/>
    <w:rsid w:val="67BE71AA"/>
    <w:rsid w:val="67D90273"/>
    <w:rsid w:val="67DE5875"/>
    <w:rsid w:val="67E55852"/>
    <w:rsid w:val="67EB1AB4"/>
    <w:rsid w:val="67FA1285"/>
    <w:rsid w:val="682D666D"/>
    <w:rsid w:val="68551F4F"/>
    <w:rsid w:val="687C10C9"/>
    <w:rsid w:val="68840C16"/>
    <w:rsid w:val="68876EFB"/>
    <w:rsid w:val="68884654"/>
    <w:rsid w:val="689F444F"/>
    <w:rsid w:val="68A660BF"/>
    <w:rsid w:val="68B96DBB"/>
    <w:rsid w:val="68CA2805"/>
    <w:rsid w:val="68DC1286"/>
    <w:rsid w:val="68E937A3"/>
    <w:rsid w:val="693E15D3"/>
    <w:rsid w:val="693E3CEF"/>
    <w:rsid w:val="69627681"/>
    <w:rsid w:val="6977531D"/>
    <w:rsid w:val="69942868"/>
    <w:rsid w:val="69B12712"/>
    <w:rsid w:val="69CC2BFF"/>
    <w:rsid w:val="69E70743"/>
    <w:rsid w:val="69FD55B8"/>
    <w:rsid w:val="6A0B1C62"/>
    <w:rsid w:val="6A2406C8"/>
    <w:rsid w:val="6A3A0C2B"/>
    <w:rsid w:val="6ADE0BD1"/>
    <w:rsid w:val="6AE96859"/>
    <w:rsid w:val="6B147746"/>
    <w:rsid w:val="6B24787C"/>
    <w:rsid w:val="6B573233"/>
    <w:rsid w:val="6B5B6274"/>
    <w:rsid w:val="6B935D53"/>
    <w:rsid w:val="6BD64506"/>
    <w:rsid w:val="6C196F71"/>
    <w:rsid w:val="6C226FCB"/>
    <w:rsid w:val="6C31226F"/>
    <w:rsid w:val="6C325071"/>
    <w:rsid w:val="6C552F0B"/>
    <w:rsid w:val="6C8C67B7"/>
    <w:rsid w:val="6C9D744C"/>
    <w:rsid w:val="6CB344B1"/>
    <w:rsid w:val="6D167928"/>
    <w:rsid w:val="6D26299B"/>
    <w:rsid w:val="6D4772EC"/>
    <w:rsid w:val="6D48131E"/>
    <w:rsid w:val="6D8D6DE8"/>
    <w:rsid w:val="6D9078AF"/>
    <w:rsid w:val="6DAA3FEF"/>
    <w:rsid w:val="6DB620A5"/>
    <w:rsid w:val="6DC0172B"/>
    <w:rsid w:val="6DCB1511"/>
    <w:rsid w:val="6DCB690C"/>
    <w:rsid w:val="6DD41A5B"/>
    <w:rsid w:val="6DE60739"/>
    <w:rsid w:val="6DF43C2E"/>
    <w:rsid w:val="6DF51CA3"/>
    <w:rsid w:val="6E8335BD"/>
    <w:rsid w:val="6E8E12EF"/>
    <w:rsid w:val="6E972936"/>
    <w:rsid w:val="6ED446C5"/>
    <w:rsid w:val="6EDD1B0A"/>
    <w:rsid w:val="6F2A7D94"/>
    <w:rsid w:val="6F334FFC"/>
    <w:rsid w:val="6F8331F1"/>
    <w:rsid w:val="6F9D48C5"/>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2E164F6"/>
    <w:rsid w:val="72F33FD8"/>
    <w:rsid w:val="73BD0A2D"/>
    <w:rsid w:val="73C0646E"/>
    <w:rsid w:val="73E80822"/>
    <w:rsid w:val="742222F5"/>
    <w:rsid w:val="74476126"/>
    <w:rsid w:val="74706664"/>
    <w:rsid w:val="747F3682"/>
    <w:rsid w:val="749C4185"/>
    <w:rsid w:val="74B31275"/>
    <w:rsid w:val="75067759"/>
    <w:rsid w:val="75210778"/>
    <w:rsid w:val="75242FB6"/>
    <w:rsid w:val="752E6DCD"/>
    <w:rsid w:val="7551380D"/>
    <w:rsid w:val="75600BE5"/>
    <w:rsid w:val="7564475C"/>
    <w:rsid w:val="7583797F"/>
    <w:rsid w:val="75D20F1D"/>
    <w:rsid w:val="75DA2C18"/>
    <w:rsid w:val="75DC7B80"/>
    <w:rsid w:val="75F54412"/>
    <w:rsid w:val="761D08E0"/>
    <w:rsid w:val="763E790A"/>
    <w:rsid w:val="765D347C"/>
    <w:rsid w:val="76826699"/>
    <w:rsid w:val="76A42E74"/>
    <w:rsid w:val="76C87133"/>
    <w:rsid w:val="76CD08D5"/>
    <w:rsid w:val="76DB4B92"/>
    <w:rsid w:val="77052AA4"/>
    <w:rsid w:val="77136511"/>
    <w:rsid w:val="77340A39"/>
    <w:rsid w:val="77351FD0"/>
    <w:rsid w:val="77472422"/>
    <w:rsid w:val="777F31F2"/>
    <w:rsid w:val="77886049"/>
    <w:rsid w:val="77BC3493"/>
    <w:rsid w:val="77D1700D"/>
    <w:rsid w:val="77EC04CC"/>
    <w:rsid w:val="78775729"/>
    <w:rsid w:val="78A42DB0"/>
    <w:rsid w:val="78A656AB"/>
    <w:rsid w:val="78AF5D62"/>
    <w:rsid w:val="78B2245C"/>
    <w:rsid w:val="78CC1378"/>
    <w:rsid w:val="78E172CC"/>
    <w:rsid w:val="78EA1D1F"/>
    <w:rsid w:val="790072D7"/>
    <w:rsid w:val="7904172F"/>
    <w:rsid w:val="790F7E27"/>
    <w:rsid w:val="792A231A"/>
    <w:rsid w:val="79316829"/>
    <w:rsid w:val="797E66A9"/>
    <w:rsid w:val="798518A4"/>
    <w:rsid w:val="79A97383"/>
    <w:rsid w:val="79E27E8B"/>
    <w:rsid w:val="79F850CE"/>
    <w:rsid w:val="79FD443C"/>
    <w:rsid w:val="7A155C5D"/>
    <w:rsid w:val="7A1D1975"/>
    <w:rsid w:val="7A363D39"/>
    <w:rsid w:val="7A3E5150"/>
    <w:rsid w:val="7A4670D6"/>
    <w:rsid w:val="7A534B63"/>
    <w:rsid w:val="7A615382"/>
    <w:rsid w:val="7A67303B"/>
    <w:rsid w:val="7A835A05"/>
    <w:rsid w:val="7AAB1D04"/>
    <w:rsid w:val="7ABA4368"/>
    <w:rsid w:val="7AD05746"/>
    <w:rsid w:val="7B257FFD"/>
    <w:rsid w:val="7B3330BB"/>
    <w:rsid w:val="7B343476"/>
    <w:rsid w:val="7B5A2978"/>
    <w:rsid w:val="7B5A7E4C"/>
    <w:rsid w:val="7B667AF9"/>
    <w:rsid w:val="7B7468F8"/>
    <w:rsid w:val="7BEE0103"/>
    <w:rsid w:val="7C0A0FE4"/>
    <w:rsid w:val="7C254906"/>
    <w:rsid w:val="7C4116D4"/>
    <w:rsid w:val="7C590818"/>
    <w:rsid w:val="7C7C10F6"/>
    <w:rsid w:val="7C853BEA"/>
    <w:rsid w:val="7C881368"/>
    <w:rsid w:val="7C9A79F1"/>
    <w:rsid w:val="7CA0528F"/>
    <w:rsid w:val="7CC77E2B"/>
    <w:rsid w:val="7CD74B2F"/>
    <w:rsid w:val="7CE27788"/>
    <w:rsid w:val="7D0C32F1"/>
    <w:rsid w:val="7D0F408D"/>
    <w:rsid w:val="7D17603D"/>
    <w:rsid w:val="7D2C7534"/>
    <w:rsid w:val="7D491C6C"/>
    <w:rsid w:val="7D5429C0"/>
    <w:rsid w:val="7D6E6D43"/>
    <w:rsid w:val="7D7C4ECA"/>
    <w:rsid w:val="7DB57A34"/>
    <w:rsid w:val="7DD722F0"/>
    <w:rsid w:val="7DE60973"/>
    <w:rsid w:val="7DEF0916"/>
    <w:rsid w:val="7E1E5218"/>
    <w:rsid w:val="7E9A4E1F"/>
    <w:rsid w:val="7EA7723A"/>
    <w:rsid w:val="7EDE145C"/>
    <w:rsid w:val="7EF56FBB"/>
    <w:rsid w:val="7F0768EB"/>
    <w:rsid w:val="7F0D7F93"/>
    <w:rsid w:val="7F143BEC"/>
    <w:rsid w:val="7F2826D7"/>
    <w:rsid w:val="7F6A0F42"/>
    <w:rsid w:val="7F715AF2"/>
    <w:rsid w:val="7F7F6F7C"/>
    <w:rsid w:val="7F886E69"/>
    <w:rsid w:val="7F9D0021"/>
    <w:rsid w:val="7FFA4074"/>
    <w:rsid w:val="BB7FA927"/>
    <w:rsid w:val="BDFB2FDB"/>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qFormat/>
    <w:uiPriority w:val="0"/>
    <w:pPr>
      <w:keepNext/>
      <w:keepLines/>
      <w:tabs>
        <w:tab w:val="left" w:pos="900"/>
      </w:tabs>
      <w:spacing w:before="260" w:after="260" w:line="416" w:lineRule="auto"/>
      <w:ind w:left="900" w:hanging="720"/>
      <w:outlineLvl w:val="2"/>
    </w:pPr>
    <w:rPr>
      <w:b/>
      <w:bCs/>
      <w:sz w:val="32"/>
      <w:szCs w:val="32"/>
    </w:rPr>
  </w:style>
  <w:style w:type="paragraph" w:styleId="10">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1">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12">
    <w:name w:val="heading 6"/>
    <w:basedOn w:val="1"/>
    <w:next w:val="1"/>
    <w:link w:val="14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3">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14">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5">
    <w:name w:val="heading 9"/>
    <w:basedOn w:val="1"/>
    <w:next w:val="1"/>
    <w:link w:val="183"/>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321"/>
    <w:qFormat/>
    <w:uiPriority w:val="0"/>
    <w:pPr>
      <w:ind w:firstLine="420"/>
    </w:pPr>
    <w:rPr>
      <w:rFonts w:hAnsi="Calibri" w:cs="Times New Roman"/>
      <w:snapToGrid/>
      <w:szCs w:val="20"/>
    </w:rPr>
  </w:style>
  <w:style w:type="paragraph" w:styleId="3">
    <w:name w:val="Body Text"/>
    <w:basedOn w:val="1"/>
    <w:next w:val="2"/>
    <w:link w:val="430"/>
    <w:qFormat/>
    <w:uiPriority w:val="0"/>
    <w:pPr>
      <w:autoSpaceDE w:val="0"/>
      <w:autoSpaceDN w:val="0"/>
      <w:spacing w:line="360" w:lineRule="auto"/>
    </w:pPr>
    <w:rPr>
      <w:rFonts w:ascii="宋体" w:hAnsi="Arial" w:cs="Arial"/>
      <w:snapToGrid w:val="0"/>
      <w:sz w:val="24"/>
      <w:szCs w:val="21"/>
      <w:lang w:val="zh-CN"/>
    </w:rPr>
  </w:style>
  <w:style w:type="paragraph" w:styleId="4">
    <w:name w:val="toc 6"/>
    <w:basedOn w:val="1"/>
    <w:next w:val="1"/>
    <w:qFormat/>
    <w:uiPriority w:val="0"/>
    <w:pPr>
      <w:ind w:left="2100" w:leftChars="1000"/>
    </w:pPr>
  </w:style>
  <w:style w:type="paragraph" w:styleId="8">
    <w:name w:val="Normal Indent"/>
    <w:basedOn w:val="1"/>
    <w:next w:val="9"/>
    <w:link w:val="194"/>
    <w:qFormat/>
    <w:uiPriority w:val="0"/>
    <w:pPr>
      <w:widowControl/>
      <w:snapToGrid w:val="0"/>
      <w:spacing w:line="480" w:lineRule="exact"/>
      <w:ind w:firstLine="567"/>
    </w:pPr>
    <w:rPr>
      <w:rFonts w:ascii="宋体"/>
      <w:snapToGrid w:val="0"/>
      <w:color w:val="000000"/>
      <w:kern w:val="28"/>
      <w:sz w:val="28"/>
      <w:szCs w:val="20"/>
    </w:rPr>
  </w:style>
  <w:style w:type="paragraph" w:styleId="9">
    <w:name w:val="Plain Text"/>
    <w:basedOn w:val="1"/>
    <w:next w:val="1"/>
    <w:link w:val="126"/>
    <w:qFormat/>
    <w:uiPriority w:val="0"/>
    <w:rPr>
      <w:rFonts w:ascii="宋体" w:hAnsi="Courier New" w:cs="Arial"/>
      <w:snapToGrid w:val="0"/>
      <w:szCs w:val="21"/>
    </w:rPr>
  </w:style>
  <w:style w:type="paragraph" w:styleId="16">
    <w:name w:val="toc 7"/>
    <w:basedOn w:val="1"/>
    <w:next w:val="1"/>
    <w:qFormat/>
    <w:uiPriority w:val="0"/>
    <w:pPr>
      <w:ind w:left="2520" w:leftChars="1200"/>
    </w:pPr>
  </w:style>
  <w:style w:type="paragraph" w:styleId="17">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8">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20">
    <w:name w:val="caption"/>
    <w:basedOn w:val="1"/>
    <w:next w:val="1"/>
    <w:link w:val="230"/>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203"/>
    <w:qFormat/>
    <w:uiPriority w:val="0"/>
    <w:pPr>
      <w:shd w:val="clear" w:color="auto" w:fill="000080"/>
    </w:pPr>
  </w:style>
  <w:style w:type="paragraph" w:styleId="23">
    <w:name w:val="annotation text"/>
    <w:basedOn w:val="1"/>
    <w:link w:val="344"/>
    <w:qFormat/>
    <w:uiPriority w:val="99"/>
    <w:pPr>
      <w:jc w:val="left"/>
    </w:pPr>
  </w:style>
  <w:style w:type="paragraph" w:styleId="24">
    <w:name w:val="Salutation"/>
    <w:basedOn w:val="1"/>
    <w:next w:val="1"/>
    <w:link w:val="298"/>
    <w:qFormat/>
    <w:uiPriority w:val="0"/>
    <w:rPr>
      <w:rFonts w:ascii="仿宋_GB2312" w:eastAsia="仿宋_GB2312"/>
      <w:sz w:val="28"/>
      <w:szCs w:val="20"/>
    </w:rPr>
  </w:style>
  <w:style w:type="paragraph" w:styleId="25">
    <w:name w:val="Body Text 3"/>
    <w:basedOn w:val="1"/>
    <w:link w:val="330"/>
    <w:qFormat/>
    <w:uiPriority w:val="0"/>
    <w:pPr>
      <w:jc w:val="center"/>
    </w:pPr>
    <w:rPr>
      <w:szCs w:val="20"/>
    </w:rPr>
  </w:style>
  <w:style w:type="paragraph" w:styleId="26">
    <w:name w:val="List Bullet 3"/>
    <w:basedOn w:val="1"/>
    <w:unhideWhenUsed/>
    <w:qFormat/>
    <w:uiPriority w:val="0"/>
    <w:pPr>
      <w:snapToGrid w:val="0"/>
      <w:spacing w:line="360" w:lineRule="auto"/>
      <w:ind w:left="360" w:right="238" w:hanging="360"/>
      <w:contextualSpacing/>
    </w:pPr>
    <w:rPr>
      <w:sz w:val="24"/>
    </w:rPr>
  </w:style>
  <w:style w:type="paragraph" w:styleId="27">
    <w:name w:val="Body Text Indent"/>
    <w:basedOn w:val="1"/>
    <w:next w:val="8"/>
    <w:link w:val="265"/>
    <w:qFormat/>
    <w:uiPriority w:val="0"/>
    <w:pPr>
      <w:spacing w:line="480" w:lineRule="exact"/>
      <w:ind w:firstLine="480" w:firstLineChars="200"/>
    </w:pPr>
    <w:rPr>
      <w:rFonts w:ascii="宋体" w:hAnsi="宋体"/>
      <w:sz w:val="24"/>
    </w:rPr>
  </w:style>
  <w:style w:type="paragraph" w:styleId="28">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20"/>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2"/>
    <w:qFormat/>
    <w:uiPriority w:val="0"/>
    <w:pPr>
      <w:ind w:left="100" w:leftChars="2500"/>
    </w:pPr>
    <w:rPr>
      <w:rFonts w:ascii="宋体"/>
      <w:sz w:val="24"/>
      <w:szCs w:val="21"/>
      <w:lang w:val="zh-CN"/>
    </w:rPr>
  </w:style>
  <w:style w:type="paragraph" w:styleId="38">
    <w:name w:val="Body Text Indent 2"/>
    <w:basedOn w:val="1"/>
    <w:link w:val="308"/>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89"/>
    <w:qFormat/>
    <w:uiPriority w:val="0"/>
    <w:rPr>
      <w:sz w:val="18"/>
      <w:szCs w:val="18"/>
    </w:rPr>
  </w:style>
  <w:style w:type="paragraph" w:styleId="41">
    <w:name w:val="footer"/>
    <w:basedOn w:val="1"/>
    <w:link w:val="383"/>
    <w:qFormat/>
    <w:uiPriority w:val="99"/>
    <w:pPr>
      <w:tabs>
        <w:tab w:val="center" w:pos="4153"/>
        <w:tab w:val="right" w:pos="8306"/>
      </w:tabs>
      <w:snapToGrid w:val="0"/>
      <w:jc w:val="left"/>
    </w:pPr>
    <w:rPr>
      <w:sz w:val="18"/>
      <w:szCs w:val="18"/>
    </w:rPr>
  </w:style>
  <w:style w:type="paragraph" w:styleId="42">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
    <w:link w:val="310"/>
    <w:qFormat/>
    <w:uiPriority w:val="0"/>
    <w:pPr>
      <w:adjustRightInd/>
      <w:spacing w:before="60" w:after="60" w:line="300" w:lineRule="exact"/>
    </w:pPr>
    <w:rPr>
      <w:rFonts w:ascii="Calibri"/>
      <w:color w:val="0000FF"/>
      <w:kern w:val="0"/>
    </w:r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5"/>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2"/>
    <w:qFormat/>
    <w:uiPriority w:val="0"/>
    <w:pPr>
      <w:spacing w:after="120" w:line="480" w:lineRule="auto"/>
    </w:pPr>
  </w:style>
  <w:style w:type="paragraph" w:styleId="57">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6"/>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3"/>
    <w:next w:val="23"/>
    <w:link w:val="97"/>
    <w:qFormat/>
    <w:uiPriority w:val="0"/>
    <w:rPr>
      <w:b/>
      <w:bCs/>
    </w:rPr>
  </w:style>
  <w:style w:type="paragraph" w:styleId="61">
    <w:name w:val="Body Text First Indent 2"/>
    <w:basedOn w:val="27"/>
    <w:next w:val="1"/>
    <w:link w:val="122"/>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80">
    <w:name w:val="Normal Indent1"/>
    <w:basedOn w:val="1"/>
    <w:qFormat/>
    <w:uiPriority w:val="7"/>
    <w:pPr>
      <w:ind w:firstLine="420"/>
    </w:pPr>
  </w:style>
  <w:style w:type="paragraph" w:customStyle="1" w:styleId="81">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2">
    <w:name w:val="Default"/>
    <w:link w:val="23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83">
    <w:name w:val="表格非标题文字 Char"/>
    <w:link w:val="84"/>
    <w:qFormat/>
    <w:uiPriority w:val="0"/>
    <w:rPr>
      <w:rFonts w:ascii="Futura Bk" w:hAnsi="Futura Bk"/>
      <w:kern w:val="2"/>
      <w:sz w:val="18"/>
      <w:szCs w:val="21"/>
      <w:lang w:val="en-US" w:eastAsia="zh-CN" w:bidi="ar-SA"/>
    </w:rPr>
  </w:style>
  <w:style w:type="paragraph" w:customStyle="1" w:styleId="84">
    <w:name w:val="表格非标题文字"/>
    <w:link w:val="83"/>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qFormat/>
    <w:locked/>
    <w:uiPriority w:val="0"/>
    <w:rPr>
      <w:rFonts w:ascii="宋体" w:hAnsi="宋体"/>
      <w:sz w:val="24"/>
    </w:rPr>
  </w:style>
  <w:style w:type="paragraph" w:customStyle="1" w:styleId="86">
    <w:name w:val="*正文"/>
    <w:basedOn w:val="1"/>
    <w:link w:val="85"/>
    <w:qFormat/>
    <w:uiPriority w:val="0"/>
    <w:pPr>
      <w:snapToGrid w:val="0"/>
      <w:spacing w:line="360" w:lineRule="auto"/>
      <w:ind w:firstLine="482"/>
      <w:jc w:val="left"/>
    </w:pPr>
    <w:rPr>
      <w:rFonts w:ascii="宋体" w:hAnsi="宋体"/>
      <w:kern w:val="0"/>
      <w:sz w:val="24"/>
      <w:szCs w:val="20"/>
    </w:rPr>
  </w:style>
  <w:style w:type="character" w:customStyle="1" w:styleId="87">
    <w:name w:val="Char Char71"/>
    <w:semiHidden/>
    <w:qFormat/>
    <w:uiPriority w:val="0"/>
    <w:rPr>
      <w:rFonts w:eastAsia="宋体"/>
      <w:kern w:val="2"/>
      <w:sz w:val="21"/>
      <w:szCs w:val="24"/>
      <w:lang w:val="en-US" w:eastAsia="zh-CN" w:bidi="ar-SA"/>
    </w:rPr>
  </w:style>
  <w:style w:type="character" w:customStyle="1" w:styleId="88">
    <w:name w:val="Char Char6"/>
    <w:qFormat/>
    <w:uiPriority w:val="0"/>
    <w:rPr>
      <w:rFonts w:eastAsia="宋体"/>
      <w:kern w:val="2"/>
      <w:sz w:val="21"/>
      <w:szCs w:val="24"/>
      <w:lang w:val="en-US" w:eastAsia="zh-CN" w:bidi="ar-SA"/>
    </w:rPr>
  </w:style>
  <w:style w:type="character" w:customStyle="1" w:styleId="89">
    <w:name w:val="正文缩进 Char"/>
    <w:qFormat/>
    <w:uiPriority w:val="0"/>
    <w:rPr>
      <w:rFonts w:eastAsia="宋体"/>
      <w:kern w:val="2"/>
      <w:sz w:val="21"/>
      <w:lang w:val="en-US" w:eastAsia="zh-CN"/>
    </w:rPr>
  </w:style>
  <w:style w:type="character" w:customStyle="1" w:styleId="90">
    <w:name w:val="正文首行缩进 Char1"/>
    <w:qFormat/>
    <w:uiPriority w:val="0"/>
    <w:rPr>
      <w:rFonts w:ascii="宋体" w:hAnsi="Times New Roman" w:eastAsia="宋体" w:cs="Times New Roman"/>
      <w:snapToGrid w:val="0"/>
      <w:kern w:val="2"/>
      <w:sz w:val="24"/>
      <w:szCs w:val="21"/>
      <w:lang w:val="zh-CN"/>
    </w:rPr>
  </w:style>
  <w:style w:type="character" w:customStyle="1" w:styleId="91">
    <w:name w:val="Char Char28"/>
    <w:qFormat/>
    <w:uiPriority w:val="6"/>
    <w:rPr>
      <w:rFonts w:ascii="仿宋_GB2312" w:hAnsi="仿宋_GB2312" w:eastAsia="仿宋_GB2312"/>
      <w:kern w:val="1"/>
      <w:sz w:val="28"/>
    </w:rPr>
  </w:style>
  <w:style w:type="character" w:customStyle="1" w:styleId="9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qFormat/>
    <w:uiPriority w:val="6"/>
    <w:rPr>
      <w:rFonts w:ascii="Times New Roman" w:hAnsi="Times New Roman" w:eastAsia="黑体" w:cs="Times New Roman"/>
      <w:b/>
      <w:kern w:val="0"/>
      <w:sz w:val="24"/>
      <w:szCs w:val="24"/>
    </w:rPr>
  </w:style>
  <w:style w:type="character" w:customStyle="1" w:styleId="94">
    <w:name w:val="U_正文 Char"/>
    <w:link w:val="95"/>
    <w:qFormat/>
    <w:uiPriority w:val="0"/>
    <w:rPr>
      <w:sz w:val="24"/>
      <w:szCs w:val="24"/>
    </w:rPr>
  </w:style>
  <w:style w:type="paragraph" w:customStyle="1" w:styleId="95">
    <w:name w:val="U_正文"/>
    <w:basedOn w:val="1"/>
    <w:link w:val="94"/>
    <w:qFormat/>
    <w:uiPriority w:val="0"/>
    <w:pPr>
      <w:adjustRightInd/>
      <w:spacing w:beforeLines="20" w:afterLines="20" w:line="300" w:lineRule="auto"/>
      <w:ind w:firstLine="200" w:firstLineChars="200"/>
    </w:pPr>
    <w:rPr>
      <w:kern w:val="0"/>
      <w:sz w:val="24"/>
    </w:rPr>
  </w:style>
  <w:style w:type="character" w:customStyle="1" w:styleId="96">
    <w:name w:val="HTML 地址 Char1"/>
    <w:qFormat/>
    <w:uiPriority w:val="0"/>
    <w:rPr>
      <w:rFonts w:ascii="Times New Roman" w:hAnsi="Times New Roman" w:eastAsia="宋体" w:cs="Times New Roman"/>
      <w:i/>
      <w:iCs/>
      <w:szCs w:val="24"/>
    </w:rPr>
  </w:style>
  <w:style w:type="character" w:customStyle="1" w:styleId="97">
    <w:name w:val="批注主题 Char1"/>
    <w:link w:val="60"/>
    <w:qFormat/>
    <w:uiPriority w:val="0"/>
    <w:rPr>
      <w:b/>
      <w:bCs/>
      <w:kern w:val="2"/>
      <w:sz w:val="21"/>
      <w:szCs w:val="24"/>
    </w:rPr>
  </w:style>
  <w:style w:type="character" w:customStyle="1" w:styleId="98">
    <w:name w:val="Char Char51"/>
    <w:qFormat/>
    <w:uiPriority w:val="0"/>
    <w:rPr>
      <w:rFonts w:ascii="宋体" w:hAnsi="Courier New" w:eastAsia="宋体"/>
      <w:kern w:val="2"/>
      <w:sz w:val="21"/>
      <w:lang w:val="en-US" w:eastAsia="zh-CN"/>
    </w:rPr>
  </w:style>
  <w:style w:type="character" w:customStyle="1" w:styleId="99">
    <w:name w:val="表正文 Char"/>
    <w:qFormat/>
    <w:uiPriority w:val="0"/>
    <w:rPr>
      <w:rFonts w:ascii="宋体" w:eastAsia="宋体"/>
      <w:snapToGrid w:val="0"/>
      <w:color w:val="000000"/>
      <w:kern w:val="28"/>
      <w:sz w:val="28"/>
      <w:lang w:val="en-US" w:eastAsia="zh-CN" w:bidi="ar-SA"/>
    </w:rPr>
  </w:style>
  <w:style w:type="character" w:customStyle="1" w:styleId="100">
    <w:name w:val="Char Char34"/>
    <w:qFormat/>
    <w:uiPriority w:val="6"/>
    <w:rPr>
      <w:b/>
      <w:kern w:val="1"/>
      <w:sz w:val="28"/>
      <w:szCs w:val="28"/>
    </w:rPr>
  </w:style>
  <w:style w:type="character" w:customStyle="1" w:styleId="101">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qFormat/>
    <w:uiPriority w:val="0"/>
    <w:rPr>
      <w:rFonts w:ascii="宋体" w:hAnsi="宋体" w:eastAsia="宋体"/>
      <w:kern w:val="2"/>
      <w:sz w:val="24"/>
      <w:lang w:bidi="ar-SA"/>
    </w:rPr>
  </w:style>
  <w:style w:type="paragraph" w:customStyle="1" w:styleId="103">
    <w:name w:val="哈哈正文"/>
    <w:basedOn w:val="1"/>
    <w:link w:val="102"/>
    <w:qFormat/>
    <w:uiPriority w:val="0"/>
    <w:pPr>
      <w:adjustRightInd/>
      <w:spacing w:line="360" w:lineRule="auto"/>
      <w:ind w:firstLine="200" w:firstLineChars="200"/>
    </w:pPr>
    <w:rPr>
      <w:rFonts w:ascii="宋体" w:hAnsi="宋体"/>
      <w:sz w:val="24"/>
      <w:szCs w:val="20"/>
    </w:rPr>
  </w:style>
  <w:style w:type="character" w:customStyle="1" w:styleId="104">
    <w:name w:val="未处理的提及1"/>
    <w:qFormat/>
    <w:uiPriority w:val="0"/>
    <w:rPr>
      <w:color w:val="808080"/>
      <w:shd w:val="clear" w:color="auto" w:fill="E6E6E6"/>
    </w:rPr>
  </w:style>
  <w:style w:type="character" w:customStyle="1" w:styleId="105">
    <w:name w:val="txt"/>
    <w:qFormat/>
    <w:uiPriority w:val="0"/>
    <w:rPr>
      <w:rFonts w:ascii="仿宋_GB2312" w:eastAsia="微软雅黑"/>
      <w:b/>
      <w:kern w:val="2"/>
      <w:sz w:val="32"/>
      <w:szCs w:val="32"/>
      <w:lang w:val="en-US" w:eastAsia="zh-CN" w:bidi="ar-SA"/>
    </w:rPr>
  </w:style>
  <w:style w:type="character" w:customStyle="1" w:styleId="106">
    <w:name w:val="二级标题 Char Char"/>
    <w:qFormat/>
    <w:uiPriority w:val="0"/>
    <w:rPr>
      <w:rFonts w:ascii="宋体" w:hAnsi="宋体" w:eastAsia="宋体"/>
      <w:b/>
      <w:snapToGrid w:val="0"/>
      <w:kern w:val="2"/>
      <w:sz w:val="24"/>
      <w:szCs w:val="24"/>
      <w:lang w:val="en-US" w:eastAsia="zh-CN" w:bidi="ar-SA"/>
    </w:rPr>
  </w:style>
  <w:style w:type="character" w:customStyle="1" w:styleId="107">
    <w:name w:val="Char Char32"/>
    <w:qFormat/>
    <w:uiPriority w:val="6"/>
    <w:rPr>
      <w:b/>
      <w:kern w:val="1"/>
      <w:sz w:val="24"/>
      <w:szCs w:val="24"/>
    </w:rPr>
  </w:style>
  <w:style w:type="character" w:customStyle="1" w:styleId="108">
    <w:name w:val="PI Char1"/>
    <w:qFormat/>
    <w:uiPriority w:val="0"/>
    <w:rPr>
      <w:rFonts w:ascii="宋体" w:hAnsi="宋体"/>
      <w:kern w:val="2"/>
      <w:sz w:val="24"/>
      <w:szCs w:val="24"/>
    </w:rPr>
  </w:style>
  <w:style w:type="character" w:customStyle="1" w:styleId="109">
    <w:name w:val="tw4winTerm"/>
    <w:qFormat/>
    <w:uiPriority w:val="0"/>
    <w:rPr>
      <w:color w:val="0000FF"/>
    </w:rPr>
  </w:style>
  <w:style w:type="character" w:customStyle="1" w:styleId="110">
    <w:name w:val="Footer Char"/>
    <w:qFormat/>
    <w:locked/>
    <w:uiPriority w:val="0"/>
    <w:rPr>
      <w:rFonts w:eastAsia="宋体"/>
      <w:kern w:val="2"/>
      <w:sz w:val="18"/>
      <w:lang w:val="en-US" w:eastAsia="zh-CN" w:bidi="ar-SA"/>
    </w:rPr>
  </w:style>
  <w:style w:type="character" w:customStyle="1" w:styleId="111">
    <w:name w:val="普通文字 Char Char1"/>
    <w:qFormat/>
    <w:uiPriority w:val="0"/>
    <w:rPr>
      <w:rFonts w:ascii="宋体" w:hAnsi="Courier New"/>
      <w:kern w:val="2"/>
      <w:sz w:val="21"/>
    </w:rPr>
  </w:style>
  <w:style w:type="character" w:customStyle="1" w:styleId="112">
    <w:name w:val="Char Char101"/>
    <w:qFormat/>
    <w:uiPriority w:val="6"/>
    <w:rPr>
      <w:rFonts w:ascii="宋体" w:hAnsi="宋体"/>
      <w:kern w:val="2"/>
      <w:sz w:val="21"/>
      <w:szCs w:val="24"/>
      <w:lang w:val="en-US" w:eastAsia="zh-CN"/>
    </w:rPr>
  </w:style>
  <w:style w:type="character" w:customStyle="1" w:styleId="113">
    <w:name w:val="标题 4 Char"/>
    <w:qFormat/>
    <w:uiPriority w:val="0"/>
    <w:rPr>
      <w:rFonts w:ascii="Arial" w:hAnsi="Arial" w:eastAsia="黑体"/>
      <w:b/>
      <w:kern w:val="2"/>
      <w:sz w:val="28"/>
    </w:rPr>
  </w:style>
  <w:style w:type="character" w:customStyle="1" w:styleId="114">
    <w:name w:val="链接"/>
    <w:qFormat/>
    <w:uiPriority w:val="0"/>
    <w:rPr>
      <w:color w:val="0000FF"/>
      <w:sz w:val="21"/>
      <w:szCs w:val="21"/>
      <w:u w:val="single"/>
    </w:rPr>
  </w:style>
  <w:style w:type="character" w:customStyle="1" w:styleId="115">
    <w:name w:val="h4 Char"/>
    <w:qFormat/>
    <w:uiPriority w:val="0"/>
    <w:rPr>
      <w:rFonts w:ascii="Arial" w:hAnsi="Arial" w:eastAsia="黑体"/>
      <w:b/>
      <w:bCs/>
      <w:kern w:val="2"/>
      <w:sz w:val="28"/>
      <w:szCs w:val="28"/>
      <w:lang w:val="zh-CN" w:eastAsia="zh-CN" w:bidi="ar-SA"/>
    </w:rPr>
  </w:style>
  <w:style w:type="character" w:customStyle="1" w:styleId="116">
    <w:name w:val="5正文 Char"/>
    <w:link w:val="117"/>
    <w:qFormat/>
    <w:uiPriority w:val="0"/>
    <w:rPr>
      <w:rFonts w:ascii="仿宋_GB2312" w:hAnsi="微软雅黑" w:eastAsia="仿宋_GB2312"/>
      <w:sz w:val="28"/>
      <w:szCs w:val="21"/>
    </w:rPr>
  </w:style>
  <w:style w:type="paragraph" w:customStyle="1" w:styleId="117">
    <w:name w:val="5正文"/>
    <w:basedOn w:val="1"/>
    <w:link w:val="116"/>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qFormat/>
    <w:uiPriority w:val="9"/>
    <w:rPr>
      <w:b/>
      <w:bCs/>
      <w:kern w:val="2"/>
      <w:sz w:val="32"/>
      <w:szCs w:val="32"/>
    </w:rPr>
  </w:style>
  <w:style w:type="character" w:customStyle="1" w:styleId="119">
    <w:name w:val="样式6 Char"/>
    <w:qFormat/>
    <w:uiPriority w:val="0"/>
    <w:rPr>
      <w:rFonts w:ascii="仿宋_GB2312" w:hAnsi="宋体" w:eastAsia="仿宋_GB2312"/>
      <w:b/>
      <w:bCs/>
      <w:kern w:val="2"/>
      <w:sz w:val="24"/>
      <w:szCs w:val="24"/>
      <w:lang w:val="en-US" w:eastAsia="zh-CN" w:bidi="ar-SA"/>
    </w:rPr>
  </w:style>
  <w:style w:type="character" w:customStyle="1" w:styleId="120">
    <w:name w:val="Char Char14"/>
    <w:qFormat/>
    <w:uiPriority w:val="6"/>
    <w:rPr>
      <w:rFonts w:ascii="黑体" w:hAnsi="黑体" w:eastAsia="黑体"/>
    </w:rPr>
  </w:style>
  <w:style w:type="character" w:customStyle="1" w:styleId="121">
    <w:name w:val="Heading 2 Hidden Char"/>
    <w:qFormat/>
    <w:uiPriority w:val="0"/>
    <w:rPr>
      <w:rFonts w:ascii="仿宋_GB2312" w:eastAsia="仿宋_GB2312"/>
      <w:b/>
      <w:bCs/>
      <w:kern w:val="2"/>
      <w:sz w:val="24"/>
      <w:szCs w:val="24"/>
      <w:lang w:val="zh-CN" w:eastAsia="zh-CN" w:bidi="ar-SA"/>
    </w:rPr>
  </w:style>
  <w:style w:type="character" w:customStyle="1" w:styleId="122">
    <w:name w:val="正文首行缩进 2 Char"/>
    <w:link w:val="61"/>
    <w:qFormat/>
    <w:uiPriority w:val="0"/>
    <w:rPr>
      <w:rFonts w:ascii="宋体" w:hAnsi="宋体"/>
      <w:kern w:val="2"/>
      <w:sz w:val="21"/>
      <w:szCs w:val="24"/>
    </w:rPr>
  </w:style>
  <w:style w:type="character" w:customStyle="1" w:styleId="123">
    <w:name w:val="font11"/>
    <w:qFormat/>
    <w:uiPriority w:val="0"/>
    <w:rPr>
      <w:rFonts w:hint="default" w:ascii="Times New Roman" w:hAnsi="Times New Roman" w:cs="Times New Roman"/>
      <w:color w:val="000000"/>
      <w:sz w:val="22"/>
      <w:szCs w:val="22"/>
      <w:u w:val="none"/>
    </w:rPr>
  </w:style>
  <w:style w:type="character" w:customStyle="1" w:styleId="124">
    <w:name w:val="表正文 Char1"/>
    <w:qFormat/>
    <w:uiPriority w:val="0"/>
    <w:rPr>
      <w:rFonts w:ascii="宋体" w:eastAsia="宋体"/>
      <w:snapToGrid w:val="0"/>
      <w:color w:val="000000"/>
      <w:kern w:val="28"/>
      <w:sz w:val="28"/>
    </w:rPr>
  </w:style>
  <w:style w:type="character" w:customStyle="1" w:styleId="125">
    <w:name w:val="blue1"/>
    <w:basedOn w:val="69"/>
    <w:qFormat/>
    <w:uiPriority w:val="0"/>
    <w:rPr>
      <w:rFonts w:ascii="Arial" w:hAnsi="Arial" w:eastAsia="黑体" w:cs="Arial"/>
      <w:snapToGrid w:val="0"/>
      <w:kern w:val="0"/>
      <w:szCs w:val="21"/>
    </w:rPr>
  </w:style>
  <w:style w:type="character" w:customStyle="1" w:styleId="126">
    <w:name w:val="纯文本 Char"/>
    <w:link w:val="9"/>
    <w:qFormat/>
    <w:uiPriority w:val="0"/>
    <w:rPr>
      <w:rFonts w:ascii="宋体" w:hAnsi="Courier New" w:eastAsia="宋体" w:cs="Arial"/>
      <w:snapToGrid w:val="0"/>
      <w:kern w:val="2"/>
      <w:sz w:val="21"/>
      <w:szCs w:val="21"/>
      <w:lang w:val="en-US" w:eastAsia="zh-CN" w:bidi="ar-SA"/>
    </w:rPr>
  </w:style>
  <w:style w:type="character" w:customStyle="1" w:styleId="127">
    <w:name w:val="标书1 Char"/>
    <w:qFormat/>
    <w:uiPriority w:val="0"/>
    <w:rPr>
      <w:rFonts w:eastAsia="宋体"/>
      <w:b/>
      <w:bCs/>
      <w:kern w:val="44"/>
      <w:sz w:val="44"/>
      <w:szCs w:val="44"/>
      <w:lang w:val="en-US" w:eastAsia="zh-CN" w:bidi="ar-SA"/>
    </w:rPr>
  </w:style>
  <w:style w:type="character" w:customStyle="1" w:styleId="128">
    <w:name w:val="样式5 Char"/>
    <w:qFormat/>
    <w:uiPriority w:val="0"/>
    <w:rPr>
      <w:rFonts w:ascii="仿宋_GB2312" w:hAnsi="仿宋" w:eastAsia="仿宋_GB2312"/>
      <w:kern w:val="2"/>
      <w:sz w:val="24"/>
      <w:szCs w:val="24"/>
    </w:rPr>
  </w:style>
  <w:style w:type="character" w:customStyle="1" w:styleId="129">
    <w:name w:val="样式4 Char"/>
    <w:qFormat/>
    <w:uiPriority w:val="0"/>
    <w:rPr>
      <w:rFonts w:ascii="仿宋_GB2312" w:hAnsi="仿宋" w:eastAsia="仿宋_GB2312"/>
      <w:b/>
      <w:kern w:val="2"/>
      <w:sz w:val="32"/>
      <w:szCs w:val="32"/>
      <w:lang w:bidi="ar-SA"/>
    </w:rPr>
  </w:style>
  <w:style w:type="character" w:customStyle="1" w:styleId="130">
    <w:name w:val="插图说明 Char"/>
    <w:qFormat/>
    <w:uiPriority w:val="0"/>
    <w:rPr>
      <w:rFonts w:eastAsia="黑体"/>
      <w:sz w:val="24"/>
      <w:lang w:val="en-US" w:eastAsia="zh-CN"/>
    </w:rPr>
  </w:style>
  <w:style w:type="character" w:customStyle="1" w:styleId="131">
    <w:name w:val="正文2 Char Char"/>
    <w:link w:val="132"/>
    <w:qFormat/>
    <w:uiPriority w:val="0"/>
    <w:rPr>
      <w:rFonts w:eastAsia="宋体"/>
      <w:kern w:val="2"/>
      <w:sz w:val="24"/>
      <w:lang w:val="en-US" w:eastAsia="zh-CN" w:bidi="ar-SA"/>
    </w:rPr>
  </w:style>
  <w:style w:type="paragraph" w:customStyle="1" w:styleId="132">
    <w:name w:val="正文2"/>
    <w:basedOn w:val="1"/>
    <w:link w:val="131"/>
    <w:qFormat/>
    <w:uiPriority w:val="0"/>
    <w:pPr>
      <w:spacing w:before="156" w:line="360" w:lineRule="auto"/>
      <w:ind w:firstLine="510" w:firstLineChars="200"/>
    </w:pPr>
    <w:rPr>
      <w:sz w:val="24"/>
      <w:szCs w:val="20"/>
    </w:rPr>
  </w:style>
  <w:style w:type="character" w:customStyle="1" w:styleId="133">
    <w:name w:val="Char Char24"/>
    <w:qFormat/>
    <w:uiPriority w:val="6"/>
    <w:rPr>
      <w:kern w:val="1"/>
      <w:sz w:val="21"/>
    </w:rPr>
  </w:style>
  <w:style w:type="character" w:customStyle="1" w:styleId="134">
    <w:name w:val="副标题 Char"/>
    <w:link w:val="48"/>
    <w:qFormat/>
    <w:uiPriority w:val="0"/>
    <w:rPr>
      <w:rFonts w:ascii="Arial" w:hAnsi="Arial" w:eastAsia="隶书"/>
      <w:b/>
      <w:bCs/>
      <w:kern w:val="28"/>
      <w:sz w:val="44"/>
      <w:szCs w:val="32"/>
      <w:lang w:val="en-US" w:eastAsia="zh-CN" w:bidi="ar-SA"/>
    </w:rPr>
  </w:style>
  <w:style w:type="character" w:customStyle="1" w:styleId="135">
    <w:name w:val="普通文字 Char1 Char"/>
    <w:qFormat/>
    <w:uiPriority w:val="0"/>
    <w:rPr>
      <w:rFonts w:ascii="宋体" w:hAnsi="Courier New" w:eastAsia="宋体"/>
      <w:kern w:val="2"/>
      <w:sz w:val="21"/>
      <w:szCs w:val="24"/>
      <w:lang w:val="en-US" w:eastAsia="zh-CN" w:bidi="ar-SA"/>
    </w:rPr>
  </w:style>
  <w:style w:type="character" w:customStyle="1" w:styleId="136">
    <w:name w:val="h3 Char1"/>
    <w:qFormat/>
    <w:uiPriority w:val="0"/>
    <w:rPr>
      <w:rFonts w:eastAsia="宋体"/>
      <w:b/>
      <w:bCs/>
      <w:kern w:val="2"/>
      <w:sz w:val="32"/>
      <w:szCs w:val="32"/>
      <w:lang w:bidi="ar-SA"/>
    </w:rPr>
  </w:style>
  <w:style w:type="character" w:customStyle="1" w:styleId="137">
    <w:name w:val="标题 Char1"/>
    <w:qFormat/>
    <w:uiPriority w:val="0"/>
    <w:rPr>
      <w:rFonts w:ascii="Cambria" w:hAnsi="Cambria" w:eastAsia="宋体" w:cs="Times New Roman"/>
      <w:b/>
      <w:bCs/>
      <w:sz w:val="32"/>
      <w:szCs w:val="32"/>
      <w:lang w:bidi="ar-SA"/>
    </w:rPr>
  </w:style>
  <w:style w:type="character" w:customStyle="1" w:styleId="138">
    <w:name w:val="gf正文1 Char"/>
    <w:qFormat/>
    <w:uiPriority w:val="0"/>
    <w:rPr>
      <w:rFonts w:ascii="宋体" w:hAnsi="宋体" w:eastAsia="宋体" w:cs="宋体"/>
      <w:kern w:val="2"/>
      <w:sz w:val="24"/>
      <w:szCs w:val="24"/>
      <w:lang w:val="en-US" w:eastAsia="zh-CN" w:bidi="ar-SA"/>
    </w:rPr>
  </w:style>
  <w:style w:type="character" w:customStyle="1" w:styleId="139">
    <w:name w:val="正文文本缩进 Char1"/>
    <w:qFormat/>
    <w:uiPriority w:val="0"/>
    <w:rPr>
      <w:rFonts w:ascii="Calibri" w:hAnsi="Calibri"/>
      <w:sz w:val="28"/>
    </w:rPr>
  </w:style>
  <w:style w:type="character" w:customStyle="1" w:styleId="140">
    <w:name w:val="No Spacing Char"/>
    <w:link w:val="141"/>
    <w:qFormat/>
    <w:uiPriority w:val="1"/>
    <w:rPr>
      <w:sz w:val="22"/>
      <w:szCs w:val="22"/>
      <w:lang w:val="en-US" w:eastAsia="zh-CN" w:bidi="ar-SA"/>
    </w:rPr>
  </w:style>
  <w:style w:type="paragraph" w:customStyle="1" w:styleId="141">
    <w:name w:val="无间隔1"/>
    <w:link w:val="140"/>
    <w:qFormat/>
    <w:uiPriority w:val="1"/>
    <w:rPr>
      <w:rFonts w:ascii="Times New Roman" w:hAnsi="Times New Roman" w:eastAsia="宋体" w:cs="Times New Roman"/>
      <w:sz w:val="22"/>
      <w:szCs w:val="22"/>
      <w:lang w:val="en-US" w:eastAsia="zh-CN" w:bidi="ar-SA"/>
    </w:rPr>
  </w:style>
  <w:style w:type="character" w:customStyle="1" w:styleId="142">
    <w:name w:val="样式7 Char"/>
    <w:qFormat/>
    <w:uiPriority w:val="0"/>
    <w:rPr>
      <w:rFonts w:ascii="仿宋_GB2312" w:hAnsi="仿宋" w:eastAsia="仿宋_GB2312"/>
      <w:b/>
      <w:kern w:val="2"/>
      <w:sz w:val="24"/>
      <w:szCs w:val="24"/>
    </w:rPr>
  </w:style>
  <w:style w:type="character" w:customStyle="1" w:styleId="143">
    <w:name w:val="font12gray1"/>
    <w:qFormat/>
    <w:uiPriority w:val="0"/>
    <w:rPr>
      <w:rFonts w:ascii="仿宋_GB2312" w:eastAsia="微软雅黑"/>
      <w:b/>
      <w:spacing w:val="300"/>
      <w:kern w:val="2"/>
      <w:sz w:val="18"/>
      <w:szCs w:val="18"/>
      <w:lang w:val="en-US" w:eastAsia="zh-CN" w:bidi="ar-SA"/>
    </w:rPr>
  </w:style>
  <w:style w:type="character" w:customStyle="1" w:styleId="144">
    <w:name w:val="Char Char7"/>
    <w:semiHidden/>
    <w:qFormat/>
    <w:uiPriority w:val="0"/>
    <w:rPr>
      <w:rFonts w:eastAsia="宋体"/>
      <w:kern w:val="2"/>
      <w:sz w:val="21"/>
      <w:szCs w:val="24"/>
      <w:lang w:val="en-US" w:eastAsia="zh-CN" w:bidi="ar-SA"/>
    </w:rPr>
  </w:style>
  <w:style w:type="character" w:customStyle="1" w:styleId="145">
    <w:name w:val="表名 Char"/>
    <w:qFormat/>
    <w:uiPriority w:val="0"/>
    <w:rPr>
      <w:rFonts w:eastAsia="宋体"/>
      <w:b/>
      <w:bCs/>
      <w:kern w:val="2"/>
      <w:sz w:val="24"/>
      <w:szCs w:val="24"/>
      <w:lang w:val="en-US" w:eastAsia="zh-CN" w:bidi="ar-SA"/>
    </w:rPr>
  </w:style>
  <w:style w:type="character" w:customStyle="1" w:styleId="146">
    <w:name w:val="Document Map Char"/>
    <w:qFormat/>
    <w:locked/>
    <w:uiPriority w:val="0"/>
    <w:rPr>
      <w:rFonts w:eastAsia="宋体"/>
      <w:kern w:val="2"/>
      <w:sz w:val="21"/>
      <w:szCs w:val="24"/>
      <w:lang w:val="en-US" w:eastAsia="zh-CN" w:bidi="ar-SA"/>
    </w:rPr>
  </w:style>
  <w:style w:type="character" w:customStyle="1" w:styleId="147">
    <w:name w:val="font41"/>
    <w:qFormat/>
    <w:uiPriority w:val="0"/>
    <w:rPr>
      <w:rFonts w:hint="eastAsia" w:ascii="仿宋_GB2312" w:eastAsia="仿宋_GB2312" w:cs="仿宋_GB2312"/>
      <w:color w:val="000000"/>
      <w:sz w:val="22"/>
      <w:szCs w:val="22"/>
      <w:u w:val="none"/>
    </w:rPr>
  </w:style>
  <w:style w:type="character" w:customStyle="1" w:styleId="148">
    <w:name w:val="标题 6 Char"/>
    <w:link w:val="12"/>
    <w:qFormat/>
    <w:uiPriority w:val="0"/>
    <w:rPr>
      <w:rFonts w:ascii="Arial" w:hAnsi="Arial" w:eastAsia="黑体"/>
      <w:b/>
      <w:bCs/>
      <w:kern w:val="2"/>
      <w:sz w:val="24"/>
      <w:szCs w:val="24"/>
    </w:rPr>
  </w:style>
  <w:style w:type="character" w:customStyle="1" w:styleId="149">
    <w:name w:val="纯文本 Char_0"/>
    <w:link w:val="150"/>
    <w:qFormat/>
    <w:uiPriority w:val="0"/>
    <w:rPr>
      <w:rFonts w:ascii="宋体" w:hAnsi="Courier New"/>
      <w:kern w:val="2"/>
      <w:sz w:val="21"/>
      <w:szCs w:val="21"/>
      <w:lang w:val="en-US" w:eastAsia="zh-CN"/>
    </w:rPr>
  </w:style>
  <w:style w:type="paragraph" w:customStyle="1" w:styleId="150">
    <w:name w:val="纯文本_0_0"/>
    <w:basedOn w:val="151"/>
    <w:link w:val="149"/>
    <w:qFormat/>
    <w:uiPriority w:val="0"/>
    <w:rPr>
      <w:rFonts w:ascii="宋体" w:hAnsi="Courier New"/>
      <w:szCs w:val="21"/>
    </w:rPr>
  </w:style>
  <w:style w:type="paragraph" w:customStyle="1" w:styleId="15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qFormat/>
    <w:locked/>
    <w:uiPriority w:val="0"/>
    <w:rPr>
      <w:rFonts w:eastAsia="宋体"/>
      <w:kern w:val="2"/>
      <w:sz w:val="18"/>
      <w:szCs w:val="18"/>
      <w:lang w:val="en-US" w:eastAsia="zh-CN" w:bidi="ar-SA"/>
    </w:rPr>
  </w:style>
  <w:style w:type="character" w:customStyle="1" w:styleId="153">
    <w:name w:val="正文 项目2 Char"/>
    <w:basedOn w:val="154"/>
    <w:qFormat/>
    <w:uiPriority w:val="0"/>
    <w:rPr>
      <w:rFonts w:ascii="仿宋_GB2312" w:hAnsi="仿宋_GB2312" w:eastAsia="仿宋_GB2312"/>
      <w:kern w:val="2"/>
      <w:sz w:val="24"/>
      <w:lang w:bidi="ar-SA"/>
    </w:rPr>
  </w:style>
  <w:style w:type="character" w:customStyle="1" w:styleId="154">
    <w:name w:val="正文 项目 Char"/>
    <w:qFormat/>
    <w:uiPriority w:val="0"/>
    <w:rPr>
      <w:rFonts w:ascii="仿宋_GB2312" w:hAnsi="仿宋_GB2312" w:eastAsia="仿宋_GB2312"/>
      <w:kern w:val="2"/>
      <w:sz w:val="24"/>
      <w:lang w:bidi="ar-SA"/>
    </w:rPr>
  </w:style>
  <w:style w:type="character" w:customStyle="1" w:styleId="155">
    <w:name w:val="h Char Char1"/>
    <w:qFormat/>
    <w:uiPriority w:val="0"/>
    <w:rPr>
      <w:rFonts w:eastAsia="宋体"/>
      <w:kern w:val="2"/>
      <w:sz w:val="18"/>
      <w:szCs w:val="18"/>
      <w:lang w:val="en-US" w:eastAsia="zh-CN" w:bidi="ar-SA"/>
    </w:rPr>
  </w:style>
  <w:style w:type="character" w:customStyle="1" w:styleId="156">
    <w:name w:val="Char Char27"/>
    <w:qFormat/>
    <w:uiPriority w:val="6"/>
    <w:rPr>
      <w:rFonts w:ascii="宋体" w:hAnsi="宋体" w:eastAsia="宋体"/>
      <w:color w:val="000000"/>
      <w:kern w:val="1"/>
      <w:sz w:val="28"/>
      <w:lang w:val="en-US" w:eastAsia="zh-CN" w:bidi="ar-SA"/>
    </w:rPr>
  </w:style>
  <w:style w:type="character" w:customStyle="1" w:styleId="157">
    <w:name w:val="px14"/>
    <w:qFormat/>
    <w:uiPriority w:val="0"/>
    <w:rPr>
      <w:rFonts w:ascii="仿宋_GB2312" w:eastAsia="微软雅黑" w:cs="Times New Roman"/>
      <w:b/>
      <w:kern w:val="2"/>
      <w:sz w:val="32"/>
      <w:szCs w:val="32"/>
      <w:lang w:val="en-US" w:eastAsia="zh-CN" w:bidi="ar-SA"/>
    </w:rPr>
  </w:style>
  <w:style w:type="character" w:customStyle="1" w:styleId="158">
    <w:name w:val="HTML 预设格式 Char1"/>
    <w:qFormat/>
    <w:uiPriority w:val="0"/>
    <w:rPr>
      <w:rFonts w:ascii="Courier New" w:hAnsi="Courier New" w:eastAsia="宋体" w:cs="Courier New"/>
      <w:sz w:val="20"/>
      <w:szCs w:val="20"/>
    </w:rPr>
  </w:style>
  <w:style w:type="character" w:customStyle="1" w:styleId="159">
    <w:name w:val="普通文字 Char1"/>
    <w:qFormat/>
    <w:uiPriority w:val="0"/>
    <w:rPr>
      <w:rFonts w:ascii="宋体" w:hAnsi="Courier New" w:eastAsia="宋体"/>
      <w:kern w:val="2"/>
      <w:sz w:val="21"/>
      <w:lang w:val="en-US" w:eastAsia="zh-CN"/>
    </w:rPr>
  </w:style>
  <w:style w:type="character" w:customStyle="1" w:styleId="160">
    <w:name w:val="hei16b1"/>
    <w:qFormat/>
    <w:uiPriority w:val="0"/>
    <w:rPr>
      <w:rFonts w:hint="default" w:ascii="Arial" w:hAnsi="Arial" w:cs="Arial"/>
      <w:b/>
      <w:bCs/>
      <w:color w:val="000000"/>
      <w:sz w:val="24"/>
      <w:szCs w:val="24"/>
    </w:rPr>
  </w:style>
  <w:style w:type="character" w:customStyle="1" w:styleId="161">
    <w:name w:val="正文（绿盟科技） Char"/>
    <w:link w:val="162"/>
    <w:qFormat/>
    <w:uiPriority w:val="0"/>
    <w:rPr>
      <w:rFonts w:ascii="Arial" w:hAnsi="Arial"/>
      <w:sz w:val="21"/>
      <w:szCs w:val="21"/>
    </w:rPr>
  </w:style>
  <w:style w:type="paragraph" w:customStyle="1" w:styleId="162">
    <w:name w:val="正文（绿盟科技）"/>
    <w:link w:val="161"/>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qFormat/>
    <w:uiPriority w:val="6"/>
    <w:rPr>
      <w:rFonts w:ascii="宋体" w:hAnsi="宋体"/>
      <w:i/>
      <w:sz w:val="24"/>
      <w:szCs w:val="24"/>
    </w:rPr>
  </w:style>
  <w:style w:type="character" w:customStyle="1" w:styleId="164">
    <w:name w:val="页脚 Char"/>
    <w:qFormat/>
    <w:uiPriority w:val="0"/>
    <w:rPr>
      <w:rFonts w:eastAsia="仿宋_GB2312"/>
      <w:kern w:val="2"/>
      <w:sz w:val="18"/>
      <w:lang w:val="en-US" w:eastAsia="zh-CN"/>
    </w:rPr>
  </w:style>
  <w:style w:type="character" w:customStyle="1" w:styleId="165">
    <w:name w:val="批注主题 Char"/>
    <w:qFormat/>
    <w:uiPriority w:val="0"/>
    <w:rPr>
      <w:rFonts w:eastAsia="宋体"/>
      <w:b/>
      <w:bCs/>
      <w:kern w:val="2"/>
      <w:sz w:val="21"/>
      <w:szCs w:val="24"/>
      <w:lang w:val="en-US" w:eastAsia="zh-CN" w:bidi="ar-SA"/>
    </w:rPr>
  </w:style>
  <w:style w:type="character" w:customStyle="1" w:styleId="166">
    <w:name w:val="Comment Text Char"/>
    <w:qFormat/>
    <w:locked/>
    <w:uiPriority w:val="0"/>
    <w:rPr>
      <w:rFonts w:ascii="宋体" w:hAnsi="宋体" w:eastAsia="宋体"/>
      <w:kern w:val="2"/>
      <w:sz w:val="24"/>
      <w:lang w:val="en-US" w:eastAsia="zh-CN" w:bidi="ar-SA"/>
    </w:rPr>
  </w:style>
  <w:style w:type="character" w:customStyle="1" w:styleId="167">
    <w:name w:val="标题 2 字符"/>
    <w:qFormat/>
    <w:uiPriority w:val="1"/>
    <w:rPr>
      <w:rFonts w:ascii="仿宋_GB2312" w:hAnsi="Times New Roman" w:eastAsia="仿宋_GB2312" w:cs="Times New Roman"/>
      <w:b/>
      <w:kern w:val="2"/>
      <w:sz w:val="24"/>
      <w:lang w:val="zh-CN"/>
    </w:rPr>
  </w:style>
  <w:style w:type="character" w:customStyle="1" w:styleId="168">
    <w:name w:val="Char Char72"/>
    <w:qFormat/>
    <w:uiPriority w:val="0"/>
    <w:rPr>
      <w:rFonts w:eastAsia="宋体"/>
      <w:kern w:val="2"/>
      <w:sz w:val="21"/>
      <w:szCs w:val="24"/>
      <w:lang w:val="en-US" w:eastAsia="zh-CN" w:bidi="ar-SA"/>
    </w:rPr>
  </w:style>
  <w:style w:type="character" w:customStyle="1" w:styleId="169">
    <w:name w:val="正文文本缩进 Char2"/>
    <w:qFormat/>
    <w:uiPriority w:val="0"/>
    <w:rPr>
      <w:rFonts w:ascii="Times New Roman" w:hAnsi="Times New Roman" w:eastAsia="宋体" w:cs="Times New Roman"/>
      <w:snapToGrid w:val="0"/>
      <w:kern w:val="0"/>
      <w:szCs w:val="24"/>
    </w:rPr>
  </w:style>
  <w:style w:type="character" w:customStyle="1" w:styleId="170">
    <w:name w:val="样式2 Char"/>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qFormat/>
    <w:uiPriority w:val="0"/>
    <w:rPr>
      <w:sz w:val="32"/>
    </w:rPr>
  </w:style>
  <w:style w:type="paragraph" w:customStyle="1" w:styleId="172">
    <w:name w:val="表格名称"/>
    <w:basedOn w:val="6"/>
    <w:link w:val="171"/>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qFormat/>
    <w:uiPriority w:val="0"/>
    <w:rPr>
      <w:rFonts w:eastAsia="宋体"/>
      <w:b/>
      <w:sz w:val="24"/>
      <w:lang w:val="en-GB" w:eastAsia="zh-CN" w:bidi="ar-SA"/>
    </w:rPr>
  </w:style>
  <w:style w:type="character" w:customStyle="1" w:styleId="174">
    <w:name w:val="c7 style3"/>
    <w:qFormat/>
    <w:uiPriority w:val="0"/>
  </w:style>
  <w:style w:type="character" w:customStyle="1" w:styleId="175">
    <w:name w:val="正文文本 3 Char1"/>
    <w:semiHidden/>
    <w:qFormat/>
    <w:uiPriority w:val="99"/>
    <w:rPr>
      <w:rFonts w:ascii="Times New Roman" w:hAnsi="Times New Roman" w:eastAsia="宋体" w:cs="Times New Roman"/>
      <w:sz w:val="16"/>
      <w:szCs w:val="16"/>
    </w:rPr>
  </w:style>
  <w:style w:type="character" w:customStyle="1" w:styleId="176">
    <w:name w:val="tw4winInternal"/>
    <w:qFormat/>
    <w:uiPriority w:val="0"/>
    <w:rPr>
      <w:rFonts w:ascii="Courier New" w:hAnsi="Courier New" w:cs="Courier New"/>
      <w:color w:val="FF0000"/>
      <w:lang w:val="en-US" w:eastAsia="zh-CN"/>
    </w:rPr>
  </w:style>
  <w:style w:type="character" w:customStyle="1" w:styleId="177">
    <w:name w:val="Char Char10"/>
    <w:semiHidden/>
    <w:qFormat/>
    <w:uiPriority w:val="0"/>
    <w:rPr>
      <w:rFonts w:ascii="宋体" w:hAnsi="宋体"/>
      <w:kern w:val="2"/>
      <w:sz w:val="21"/>
      <w:szCs w:val="24"/>
      <w:lang w:val="en-US" w:eastAsia="zh-CN"/>
    </w:rPr>
  </w:style>
  <w:style w:type="character" w:customStyle="1" w:styleId="178">
    <w:name w:val="shadow11"/>
    <w:qFormat/>
    <w:uiPriority w:val="0"/>
    <w:rPr>
      <w:color w:val="000000"/>
      <w:sz w:val="21"/>
    </w:rPr>
  </w:style>
  <w:style w:type="character" w:customStyle="1" w:styleId="179">
    <w:name w:val="正文非缩进 Char3"/>
    <w:qFormat/>
    <w:uiPriority w:val="0"/>
    <w:rPr>
      <w:rFonts w:ascii="宋体" w:eastAsia="宋体"/>
      <w:snapToGrid w:val="0"/>
      <w:color w:val="000000"/>
      <w:kern w:val="28"/>
      <w:sz w:val="28"/>
      <w:lang w:val="en-US" w:eastAsia="zh-CN" w:bidi="ar-SA"/>
    </w:rPr>
  </w:style>
  <w:style w:type="character" w:customStyle="1" w:styleId="180">
    <w:name w:val="Char Char"/>
    <w:qFormat/>
    <w:uiPriority w:val="0"/>
    <w:rPr>
      <w:rFonts w:ascii="宋体" w:hAnsi="Courier New" w:eastAsia="宋体"/>
      <w:kern w:val="2"/>
      <w:sz w:val="21"/>
      <w:lang w:val="en-US" w:eastAsia="zh-CN" w:bidi="ar-SA"/>
    </w:rPr>
  </w:style>
  <w:style w:type="character" w:customStyle="1" w:styleId="181">
    <w:name w:val="签名 Char1"/>
    <w:qFormat/>
    <w:uiPriority w:val="0"/>
    <w:rPr>
      <w:rFonts w:ascii="Times New Roman" w:hAnsi="Times New Roman" w:eastAsia="宋体" w:cs="Times New Roman"/>
      <w:szCs w:val="24"/>
    </w:rPr>
  </w:style>
  <w:style w:type="character" w:customStyle="1" w:styleId="182">
    <w:name w:val="日期 Char"/>
    <w:link w:val="37"/>
    <w:qFormat/>
    <w:uiPriority w:val="0"/>
    <w:rPr>
      <w:rFonts w:ascii="宋体"/>
      <w:kern w:val="2"/>
      <w:sz w:val="24"/>
      <w:szCs w:val="21"/>
      <w:lang w:val="zh-CN"/>
    </w:rPr>
  </w:style>
  <w:style w:type="character" w:customStyle="1" w:styleId="183">
    <w:name w:val="标题 9 Char"/>
    <w:link w:val="15"/>
    <w:qFormat/>
    <w:uiPriority w:val="0"/>
    <w:rPr>
      <w:rFonts w:ascii="Arial" w:hAnsi="Arial" w:eastAsia="黑体"/>
      <w:kern w:val="2"/>
      <w:sz w:val="21"/>
      <w:szCs w:val="21"/>
    </w:rPr>
  </w:style>
  <w:style w:type="character" w:customStyle="1" w:styleId="184">
    <w:name w:val="Char Char18"/>
    <w:qFormat/>
    <w:uiPriority w:val="6"/>
    <w:rPr>
      <w:rFonts w:ascii="宋体" w:hAnsi="宋体"/>
      <w:sz w:val="28"/>
    </w:rPr>
  </w:style>
  <w:style w:type="character" w:customStyle="1" w:styleId="185">
    <w:name w:val="批注文字 Char"/>
    <w:qFormat/>
    <w:uiPriority w:val="0"/>
    <w:rPr>
      <w:kern w:val="2"/>
      <w:sz w:val="21"/>
      <w:szCs w:val="24"/>
    </w:rPr>
  </w:style>
  <w:style w:type="character" w:customStyle="1" w:styleId="186">
    <w:name w:val="Char Char22"/>
    <w:qFormat/>
    <w:uiPriority w:val="6"/>
    <w:rPr>
      <w:rFonts w:ascii="宋体" w:hAnsi="宋体"/>
      <w:kern w:val="1"/>
      <w:sz w:val="24"/>
      <w:szCs w:val="24"/>
    </w:rPr>
  </w:style>
  <w:style w:type="character" w:customStyle="1" w:styleId="187">
    <w:name w:val="pt141"/>
    <w:qFormat/>
    <w:uiPriority w:val="0"/>
    <w:rPr>
      <w:color w:val="330066"/>
      <w:sz w:val="22"/>
      <w:szCs w:val="22"/>
    </w:rPr>
  </w:style>
  <w:style w:type="character" w:customStyle="1" w:styleId="188">
    <w:name w:val="正文文本缩进 2 Char1"/>
    <w:semiHidden/>
    <w:qFormat/>
    <w:uiPriority w:val="99"/>
    <w:rPr>
      <w:rFonts w:ascii="Times New Roman" w:hAnsi="Times New Roman" w:eastAsia="宋体" w:cs="Times New Roman"/>
      <w:szCs w:val="24"/>
    </w:rPr>
  </w:style>
  <w:style w:type="character" w:customStyle="1" w:styleId="189">
    <w:name w:val="批注框文本 Char"/>
    <w:link w:val="40"/>
    <w:qFormat/>
    <w:uiPriority w:val="0"/>
    <w:rPr>
      <w:kern w:val="2"/>
      <w:sz w:val="18"/>
      <w:szCs w:val="18"/>
    </w:rPr>
  </w:style>
  <w:style w:type="character" w:customStyle="1" w:styleId="190">
    <w:name w:val="Char Char611"/>
    <w:qFormat/>
    <w:uiPriority w:val="0"/>
    <w:rPr>
      <w:rFonts w:eastAsia="宋体"/>
      <w:kern w:val="2"/>
      <w:sz w:val="21"/>
      <w:szCs w:val="24"/>
      <w:lang w:val="en-US" w:eastAsia="zh-CN" w:bidi="ar-SA"/>
    </w:rPr>
  </w:style>
  <w:style w:type="character" w:customStyle="1" w:styleId="191">
    <w:name w:val="highlight1"/>
    <w:qFormat/>
    <w:uiPriority w:val="0"/>
    <w:rPr>
      <w:rFonts w:ascii="仿宋_GB2312" w:eastAsia="微软雅黑"/>
      <w:b/>
      <w:kern w:val="2"/>
      <w:sz w:val="23"/>
      <w:szCs w:val="23"/>
      <w:lang w:val="en-US" w:eastAsia="zh-CN" w:bidi="ar-SA"/>
    </w:rPr>
  </w:style>
  <w:style w:type="character" w:customStyle="1" w:styleId="192">
    <w:name w:val="my正文 Char"/>
    <w:link w:val="193"/>
    <w:qFormat/>
    <w:locked/>
    <w:uiPriority w:val="0"/>
    <w:rPr>
      <w:rFonts w:ascii="Tahoma" w:hAnsi="Tahoma"/>
      <w:sz w:val="24"/>
      <w:szCs w:val="24"/>
    </w:rPr>
  </w:style>
  <w:style w:type="paragraph" w:customStyle="1" w:styleId="193">
    <w:name w:val="my正文"/>
    <w:basedOn w:val="1"/>
    <w:link w:val="192"/>
    <w:qFormat/>
    <w:uiPriority w:val="0"/>
    <w:pPr>
      <w:adjustRightInd/>
      <w:spacing w:line="360" w:lineRule="auto"/>
      <w:ind w:firstLine="480" w:firstLineChars="200"/>
    </w:pPr>
    <w:rPr>
      <w:rFonts w:ascii="Tahoma" w:hAnsi="Tahoma"/>
      <w:kern w:val="0"/>
      <w:sz w:val="24"/>
    </w:rPr>
  </w:style>
  <w:style w:type="character" w:customStyle="1" w:styleId="194">
    <w:name w:val="正文缩进 Char2"/>
    <w:link w:val="8"/>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qFormat/>
    <w:uiPriority w:val="0"/>
    <w:rPr>
      <w:color w:val="0000FF"/>
      <w:sz w:val="21"/>
    </w:rPr>
  </w:style>
  <w:style w:type="character" w:customStyle="1" w:styleId="196">
    <w:name w:val="页眉 Char"/>
    <w:qFormat/>
    <w:uiPriority w:val="0"/>
    <w:rPr>
      <w:rFonts w:eastAsia="仿宋_GB2312"/>
      <w:kern w:val="2"/>
      <w:sz w:val="18"/>
      <w:lang w:val="en-US" w:eastAsia="zh-CN"/>
    </w:rPr>
  </w:style>
  <w:style w:type="character" w:customStyle="1" w:styleId="197">
    <w:name w:val="FA正文 Char Char"/>
    <w:qFormat/>
    <w:uiPriority w:val="0"/>
    <w:rPr>
      <w:rFonts w:hAnsi="宋体"/>
      <w:kern w:val="2"/>
      <w:sz w:val="24"/>
      <w:lang w:bidi="ar-SA"/>
    </w:rPr>
  </w:style>
  <w:style w:type="character" w:customStyle="1" w:styleId="198">
    <w:name w:val="纯文本 字符"/>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qFormat/>
    <w:uiPriority w:val="0"/>
    <w:rPr>
      <w:rFonts w:ascii="宋体" w:hAnsi="宋体"/>
      <w:b/>
      <w:bCs/>
      <w:snapToGrid/>
      <w:sz w:val="28"/>
    </w:rPr>
  </w:style>
  <w:style w:type="paragraph" w:customStyle="1" w:styleId="200">
    <w:name w:val="3级"/>
    <w:basedOn w:val="201"/>
    <w:link w:val="199"/>
    <w:qFormat/>
    <w:uiPriority w:val="0"/>
    <w:pPr>
      <w:ind w:left="0" w:right="466" w:firstLine="288"/>
    </w:pPr>
    <w:rPr>
      <w:rFonts w:hAnsi="宋体"/>
      <w:snapToGrid/>
    </w:rPr>
  </w:style>
  <w:style w:type="paragraph" w:customStyle="1" w:styleId="201">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qFormat/>
    <w:uiPriority w:val="0"/>
    <w:rPr>
      <w:rFonts w:ascii="仿宋_GB2312" w:eastAsia="微软雅黑"/>
      <w:b/>
      <w:kern w:val="2"/>
      <w:sz w:val="32"/>
      <w:szCs w:val="32"/>
      <w:lang w:val="en-US" w:eastAsia="zh-CN" w:bidi="ar-SA"/>
    </w:rPr>
  </w:style>
  <w:style w:type="character" w:customStyle="1" w:styleId="203">
    <w:name w:val="文档结构图 Char1"/>
    <w:link w:val="22"/>
    <w:qFormat/>
    <w:uiPriority w:val="0"/>
    <w:rPr>
      <w:kern w:val="2"/>
      <w:sz w:val="21"/>
      <w:szCs w:val="24"/>
      <w:shd w:val="clear" w:color="auto" w:fill="000080"/>
    </w:rPr>
  </w:style>
  <w:style w:type="character" w:customStyle="1" w:styleId="204">
    <w:name w:val="H6 Char"/>
    <w:qFormat/>
    <w:uiPriority w:val="0"/>
    <w:rPr>
      <w:rFonts w:ascii="Arial" w:hAnsi="Arial" w:eastAsia="黑体"/>
      <w:b/>
      <w:bCs/>
      <w:kern w:val="2"/>
      <w:sz w:val="24"/>
      <w:szCs w:val="24"/>
    </w:rPr>
  </w:style>
  <w:style w:type="character" w:customStyle="1" w:styleId="205">
    <w:name w:val="Char Char91"/>
    <w:qFormat/>
    <w:uiPriority w:val="0"/>
    <w:rPr>
      <w:rFonts w:eastAsia="宋体"/>
      <w:kern w:val="2"/>
      <w:sz w:val="18"/>
      <w:szCs w:val="18"/>
      <w:lang w:val="en-US" w:eastAsia="zh-CN" w:bidi="ar-SA"/>
    </w:rPr>
  </w:style>
  <w:style w:type="character" w:customStyle="1" w:styleId="206">
    <w:name w:val="副标题 Char1"/>
    <w:qFormat/>
    <w:uiPriority w:val="0"/>
    <w:rPr>
      <w:rFonts w:ascii="Cambria" w:hAnsi="Cambria" w:eastAsia="宋体" w:cs="Times New Roman"/>
      <w:b/>
      <w:bCs/>
      <w:snapToGrid w:val="0"/>
      <w:kern w:val="28"/>
      <w:sz w:val="32"/>
      <w:szCs w:val="32"/>
    </w:rPr>
  </w:style>
  <w:style w:type="character" w:customStyle="1" w:styleId="207">
    <w:name w:val="font61"/>
    <w:qFormat/>
    <w:uiPriority w:val="0"/>
    <w:rPr>
      <w:rFonts w:hint="eastAsia" w:ascii="仿宋" w:hAnsi="仿宋" w:eastAsia="仿宋" w:cs="仿宋"/>
      <w:color w:val="000000"/>
      <w:sz w:val="20"/>
      <w:szCs w:val="20"/>
      <w:u w:val="none"/>
    </w:rPr>
  </w:style>
  <w:style w:type="character" w:customStyle="1" w:styleId="20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qFormat/>
    <w:uiPriority w:val="0"/>
    <w:rPr>
      <w:rFonts w:eastAsia="宋体"/>
      <w:b/>
      <w:bCs/>
      <w:kern w:val="2"/>
      <w:sz w:val="21"/>
      <w:szCs w:val="24"/>
      <w:lang w:val="en-US" w:eastAsia="zh-CN" w:bidi="ar-SA"/>
    </w:rPr>
  </w:style>
  <w:style w:type="character" w:customStyle="1" w:styleId="210">
    <w:name w:val="标题 2 Char"/>
    <w:qFormat/>
    <w:uiPriority w:val="0"/>
    <w:rPr>
      <w:rFonts w:ascii="Arial" w:hAnsi="Arial" w:eastAsia="黑体"/>
      <w:b/>
      <w:kern w:val="2"/>
      <w:sz w:val="32"/>
      <w:lang w:val="en-US" w:eastAsia="zh-CN"/>
    </w:rPr>
  </w:style>
  <w:style w:type="character" w:customStyle="1" w:styleId="211">
    <w:name w:val="maywed421"/>
    <w:qFormat/>
    <w:uiPriority w:val="0"/>
    <w:rPr>
      <w:color w:val="366FB6"/>
      <w:u w:val="none"/>
    </w:rPr>
  </w:style>
  <w:style w:type="character" w:customStyle="1" w:styleId="212">
    <w:name w:val="正文文本缩进 Char"/>
    <w:qFormat/>
    <w:uiPriority w:val="0"/>
    <w:rPr>
      <w:rFonts w:ascii="宋体" w:hAnsi="宋体"/>
      <w:kern w:val="2"/>
      <w:sz w:val="24"/>
      <w:szCs w:val="24"/>
    </w:rPr>
  </w:style>
  <w:style w:type="character" w:customStyle="1" w:styleId="213">
    <w:name w:val="Char Char102"/>
    <w:semiHidden/>
    <w:qFormat/>
    <w:uiPriority w:val="0"/>
    <w:rPr>
      <w:rFonts w:ascii="宋体" w:hAnsi="宋体"/>
      <w:kern w:val="2"/>
      <w:sz w:val="21"/>
      <w:szCs w:val="24"/>
      <w:lang w:val="en-US" w:eastAsia="zh-CN"/>
    </w:rPr>
  </w:style>
  <w:style w:type="character" w:customStyle="1" w:styleId="214">
    <w:name w:val="页眉 Char1"/>
    <w:qFormat/>
    <w:uiPriority w:val="0"/>
    <w:rPr>
      <w:rFonts w:eastAsia="宋体"/>
      <w:kern w:val="2"/>
      <w:sz w:val="18"/>
      <w:szCs w:val="18"/>
      <w:lang w:val="en-US" w:eastAsia="zh-CN" w:bidi="ar-SA"/>
    </w:rPr>
  </w:style>
  <w:style w:type="character" w:customStyle="1" w:styleId="215">
    <w:name w:val="md"/>
    <w:basedOn w:val="69"/>
    <w:qFormat/>
    <w:uiPriority w:val="0"/>
    <w:rPr>
      <w:rFonts w:ascii="Arial" w:hAnsi="Arial" w:eastAsia="黑体" w:cs="Arial"/>
      <w:snapToGrid w:val="0"/>
      <w:kern w:val="0"/>
      <w:szCs w:val="21"/>
    </w:rPr>
  </w:style>
  <w:style w:type="character" w:customStyle="1" w:styleId="216">
    <w:name w:val="big1"/>
    <w:qFormat/>
    <w:uiPriority w:val="0"/>
    <w:rPr>
      <w:rFonts w:hint="eastAsia" w:ascii="宋体" w:hAnsi="宋体" w:eastAsia="宋体"/>
      <w:color w:val="333333"/>
      <w:sz w:val="22"/>
      <w:szCs w:val="22"/>
    </w:rPr>
  </w:style>
  <w:style w:type="character" w:customStyle="1" w:styleId="217">
    <w:name w:val="Char Char311"/>
    <w:qFormat/>
    <w:uiPriority w:val="0"/>
    <w:rPr>
      <w:rFonts w:eastAsia="宋体"/>
      <w:kern w:val="2"/>
      <w:sz w:val="21"/>
      <w:szCs w:val="24"/>
      <w:lang w:val="en-US" w:eastAsia="zh-CN" w:bidi="ar-SA"/>
    </w:rPr>
  </w:style>
  <w:style w:type="character" w:customStyle="1" w:styleId="218">
    <w:name w:val="Char Char81"/>
    <w:qFormat/>
    <w:uiPriority w:val="6"/>
    <w:rPr>
      <w:rFonts w:eastAsia="宋体"/>
      <w:b/>
      <w:sz w:val="24"/>
      <w:lang w:val="en-GB" w:eastAsia="zh-CN"/>
    </w:rPr>
  </w:style>
  <w:style w:type="character" w:customStyle="1" w:styleId="219">
    <w:name w:val="样式3 Char"/>
    <w:basedOn w:val="170"/>
    <w:qFormat/>
    <w:uiPriority w:val="0"/>
    <w:rPr>
      <w:rFonts w:ascii="仿宋_GB2312" w:hAnsi="仿宋" w:eastAsia="仿宋_GB2312" w:cs="仿宋_GB2312"/>
      <w:sz w:val="32"/>
      <w:szCs w:val="30"/>
      <w:lang w:val="zh-CN"/>
    </w:rPr>
  </w:style>
  <w:style w:type="character" w:customStyle="1" w:styleId="220">
    <w:name w:val="HTML 地址 Char"/>
    <w:link w:val="32"/>
    <w:qFormat/>
    <w:uiPriority w:val="0"/>
    <w:rPr>
      <w:rFonts w:ascii="宋体" w:hAnsi="宋体"/>
      <w:i/>
      <w:iCs/>
      <w:sz w:val="24"/>
      <w:szCs w:val="24"/>
    </w:rPr>
  </w:style>
  <w:style w:type="character" w:customStyle="1" w:styleId="221">
    <w:name w:val="正文首行缩进 2 Char1"/>
    <w:qFormat/>
    <w:uiPriority w:val="0"/>
    <w:rPr>
      <w:rFonts w:ascii="Times New Roman" w:hAnsi="Times New Roman" w:eastAsia="宋体" w:cs="Times New Roman"/>
      <w:kern w:val="2"/>
      <w:sz w:val="24"/>
      <w:szCs w:val="24"/>
    </w:rPr>
  </w:style>
  <w:style w:type="character" w:customStyle="1" w:styleId="222">
    <w:name w:val="副标题 Char2"/>
    <w:qFormat/>
    <w:uiPriority w:val="0"/>
    <w:rPr>
      <w:rFonts w:ascii="Cambria" w:hAnsi="Cambria" w:eastAsia="宋体" w:cs="Times New Roman"/>
      <w:b/>
      <w:bCs/>
      <w:snapToGrid w:val="0"/>
      <w:kern w:val="28"/>
      <w:sz w:val="32"/>
      <w:szCs w:val="32"/>
    </w:rPr>
  </w:style>
  <w:style w:type="character" w:customStyle="1" w:styleId="223">
    <w:name w:val="标题4-dyf Char"/>
    <w:link w:val="224"/>
    <w:qFormat/>
    <w:uiPriority w:val="0"/>
    <w:rPr>
      <w:rFonts w:ascii="Cambria" w:hAnsi="Cambria"/>
      <w:b/>
      <w:bCs/>
      <w:color w:val="000000"/>
      <w:kern w:val="2"/>
      <w:sz w:val="21"/>
      <w:szCs w:val="21"/>
    </w:rPr>
  </w:style>
  <w:style w:type="paragraph" w:customStyle="1" w:styleId="224">
    <w:name w:val="标题4-dyf"/>
    <w:basedOn w:val="10"/>
    <w:link w:val="223"/>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qFormat/>
    <w:uiPriority w:val="0"/>
    <w:rPr>
      <w:rFonts w:ascii="宋体" w:hAnsi="宋体" w:eastAsia="宋体"/>
      <w:color w:val="333333"/>
      <w:sz w:val="21"/>
      <w:szCs w:val="21"/>
      <w:u w:val="none"/>
    </w:rPr>
  </w:style>
  <w:style w:type="character" w:customStyle="1" w:styleId="226">
    <w:name w:val="冯 Char"/>
    <w:link w:val="227"/>
    <w:qFormat/>
    <w:uiPriority w:val="0"/>
    <w:rPr>
      <w:rFonts w:ascii="宋体" w:hAnsi="宋体"/>
      <w:color w:val="000000"/>
      <w:sz w:val="24"/>
      <w:szCs w:val="24"/>
    </w:rPr>
  </w:style>
  <w:style w:type="paragraph" w:customStyle="1" w:styleId="227">
    <w:name w:val="冯"/>
    <w:basedOn w:val="1"/>
    <w:link w:val="226"/>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qFormat/>
    <w:locked/>
    <w:uiPriority w:val="0"/>
    <w:rPr>
      <w:rFonts w:eastAsia="宋体"/>
      <w:kern w:val="2"/>
      <w:sz w:val="18"/>
      <w:szCs w:val="18"/>
      <w:lang w:val="en-US" w:eastAsia="zh-CN" w:bidi="ar-SA"/>
    </w:rPr>
  </w:style>
  <w:style w:type="character" w:customStyle="1" w:styleId="229">
    <w:name w:val="Char Char12"/>
    <w:qFormat/>
    <w:uiPriority w:val="0"/>
    <w:rPr>
      <w:rFonts w:ascii="仿宋_GB2312" w:eastAsia="仿宋_GB2312"/>
      <w:b/>
      <w:bCs/>
      <w:kern w:val="2"/>
      <w:sz w:val="24"/>
      <w:szCs w:val="24"/>
      <w:lang w:val="zh-CN" w:eastAsia="zh-CN" w:bidi="ar-SA"/>
    </w:rPr>
  </w:style>
  <w:style w:type="character" w:customStyle="1" w:styleId="230">
    <w:name w:val="题注 Char"/>
    <w:link w:val="20"/>
    <w:qFormat/>
    <w:uiPriority w:val="0"/>
    <w:rPr>
      <w:b/>
      <w:kern w:val="2"/>
      <w:sz w:val="28"/>
    </w:rPr>
  </w:style>
  <w:style w:type="character" w:customStyle="1" w:styleId="231">
    <w:name w:val="普通文字 Char3"/>
    <w:qFormat/>
    <w:uiPriority w:val="0"/>
    <w:rPr>
      <w:rFonts w:ascii="宋体" w:hAnsi="Courier New" w:eastAsia="宋体"/>
      <w:kern w:val="2"/>
      <w:sz w:val="21"/>
      <w:lang w:val="en-US" w:eastAsia="zh-CN" w:bidi="ar-SA"/>
    </w:rPr>
  </w:style>
  <w:style w:type="character" w:customStyle="1" w:styleId="232">
    <w:name w:val="公文正文 Char"/>
    <w:qFormat/>
    <w:uiPriority w:val="0"/>
    <w:rPr>
      <w:rFonts w:ascii="仿宋_GB2312" w:eastAsia="仿宋_GB2312"/>
      <w:kern w:val="2"/>
      <w:sz w:val="24"/>
      <w:szCs w:val="24"/>
      <w:lang w:val="en-US" w:eastAsia="zh-CN" w:bidi="ar-SA"/>
    </w:rPr>
  </w:style>
  <w:style w:type="character" w:customStyle="1" w:styleId="233">
    <w:name w:val="正文首行缩进 Char Char Char Char Char"/>
    <w:qFormat/>
    <w:uiPriority w:val="0"/>
    <w:rPr>
      <w:rFonts w:ascii="宋体"/>
      <w:kern w:val="2"/>
      <w:sz w:val="24"/>
      <w:lang w:val="zh-CN"/>
    </w:rPr>
  </w:style>
  <w:style w:type="character" w:customStyle="1" w:styleId="234">
    <w:name w:val="PI Char"/>
    <w:qFormat/>
    <w:uiPriority w:val="0"/>
    <w:rPr>
      <w:rFonts w:ascii="宋体" w:hAnsi="宋体" w:eastAsia="宋体"/>
      <w:kern w:val="2"/>
      <w:sz w:val="24"/>
      <w:szCs w:val="24"/>
      <w:lang w:val="en-US" w:eastAsia="zh-CN" w:bidi="ar-SA"/>
    </w:rPr>
  </w:style>
  <w:style w:type="character" w:customStyle="1" w:styleId="235">
    <w:name w:val="Default Char"/>
    <w:link w:val="82"/>
    <w:qFormat/>
    <w:uiPriority w:val="0"/>
    <w:rPr>
      <w:rFonts w:ascii="仿宋_GB2312" w:eastAsia="仿宋_GB2312" w:cs="仿宋_GB2312"/>
      <w:color w:val="000000"/>
      <w:sz w:val="24"/>
      <w:szCs w:val="24"/>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Char3"/>
    <w:link w:val="27"/>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Char"/>
    <w:link w:val="5"/>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59"/>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Char"/>
    <w:link w:val="11"/>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Char"/>
    <w:link w:val="24"/>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Char"/>
    <w:link w:val="57"/>
    <w:qFormat/>
    <w:uiPriority w:val="0"/>
    <w:rPr>
      <w:rFonts w:ascii="黑体" w:hAnsi="Courier New" w:eastAsia="黑体"/>
    </w:rPr>
  </w:style>
  <w:style w:type="character" w:customStyle="1" w:styleId="302">
    <w:name w:val="正文文本 2 Char1"/>
    <w:link w:val="56"/>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10"/>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Char"/>
    <w:link w:val="13"/>
    <w:qFormat/>
    <w:uiPriority w:val="0"/>
    <w:rPr>
      <w:b/>
      <w:bCs/>
      <w:kern w:val="2"/>
      <w:sz w:val="24"/>
      <w:szCs w:val="24"/>
    </w:rPr>
  </w:style>
  <w:style w:type="character" w:customStyle="1" w:styleId="308">
    <w:name w:val="正文文本缩进 2 Char"/>
    <w:link w:val="38"/>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Char"/>
    <w:link w:val="51"/>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首行缩进 Char"/>
    <w:link w:val="2"/>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Char2"/>
    <w:link w:val="10"/>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Char"/>
    <w:link w:val="25"/>
    <w:qFormat/>
    <w:uiPriority w:val="0"/>
    <w:rPr>
      <w:kern w:val="2"/>
      <w:sz w:val="21"/>
    </w:rPr>
  </w:style>
  <w:style w:type="character" w:customStyle="1" w:styleId="331">
    <w:name w:val="font31"/>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Char1"/>
    <w:link w:val="23"/>
    <w:qFormat/>
    <w:uiPriority w:val="0"/>
    <w:rPr>
      <w:kern w:val="2"/>
      <w:sz w:val="21"/>
      <w:szCs w:val="24"/>
    </w:rPr>
  </w:style>
  <w:style w:type="character" w:customStyle="1" w:styleId="345">
    <w:name w:val="签名 Char"/>
    <w:link w:val="43"/>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4"/>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Char"/>
    <w:link w:val="53"/>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Char2"/>
    <w:link w:val="41"/>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Char2"/>
    <w:link w:val="42"/>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69"/>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8"/>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431">
    <w:name w:val="gray6"/>
    <w:basedOn w:val="69"/>
    <w:qFormat/>
    <w:uiPriority w:val="0"/>
    <w:rPr>
      <w:rFonts w:ascii="Arial" w:hAnsi="Arial" w:eastAsia="黑体" w:cs="Arial"/>
      <w:snapToGrid w:val="0"/>
      <w:kern w:val="0"/>
      <w:szCs w:val="21"/>
    </w:rPr>
  </w:style>
  <w:style w:type="character" w:customStyle="1" w:styleId="432">
    <w:name w:val="hui"/>
    <w:basedOn w:val="69"/>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10"/>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6"/>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outlineLvl w:val="5"/>
    </w:pPr>
  </w:style>
  <w:style w:type="paragraph" w:customStyle="1" w:styleId="474">
    <w:name w:val="5级标题"/>
    <w:basedOn w:val="475"/>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5">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12"/>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1"/>
    <w:qFormat/>
    <w:uiPriority w:val="99"/>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6"/>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7"/>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11"/>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2"/>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7"/>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8"/>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10"/>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Lines="50"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82"/>
    <w:next w:val="82"/>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82"/>
    <w:next w:val="82"/>
    <w:qFormat/>
    <w:uiPriority w:val="0"/>
    <w:rPr>
      <w:rFonts w:ascii="宋体" w:eastAsia="宋体" w:cs="Times New Roman"/>
      <w:color w:val="auto"/>
    </w:rPr>
  </w:style>
  <w:style w:type="paragraph" w:customStyle="1" w:styleId="550">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7"/>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9"/>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6"/>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6">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5"/>
    <w:qFormat/>
    <w:uiPriority w:val="0"/>
    <w:pPr>
      <w:tabs>
        <w:tab w:val="left" w:pos="840"/>
      </w:tabs>
      <w:adjustRightInd/>
      <w:ind w:left="840" w:hanging="420"/>
    </w:pPr>
  </w:style>
  <w:style w:type="paragraph" w:customStyle="1" w:styleId="626">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10"/>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8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81"/>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81"/>
    <w:qFormat/>
    <w:uiPriority w:val="0"/>
    <w:pPr>
      <w:tabs>
        <w:tab w:val="left" w:pos="1260"/>
        <w:tab w:val="left" w:pos="1680"/>
        <w:tab w:val="left" w:pos="2100"/>
      </w:tabs>
      <w:ind w:left="0"/>
      <w:outlineLvl w:val="3"/>
    </w:pPr>
  </w:style>
  <w:style w:type="paragraph" w:customStyle="1" w:styleId="656">
    <w:name w:val="一级条标题"/>
    <w:basedOn w:val="657"/>
    <w:next w:val="81"/>
    <w:qFormat/>
    <w:uiPriority w:val="0"/>
    <w:pPr>
      <w:tabs>
        <w:tab w:val="left" w:pos="1260"/>
        <w:tab w:val="left" w:pos="1680"/>
      </w:tabs>
      <w:spacing w:beforeLines="0" w:afterLines="0"/>
      <w:ind w:left="1680"/>
      <w:outlineLvl w:val="2"/>
    </w:pPr>
  </w:style>
  <w:style w:type="paragraph" w:customStyle="1" w:styleId="657">
    <w:name w:val="章标题"/>
    <w:next w:val="81"/>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10"/>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7"/>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8"/>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7"/>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81"/>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4"/>
    <w:next w:val="81"/>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4"/>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10"/>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7"/>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9"/>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22"/>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8"/>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11"/>
    <w:next w:val="1"/>
    <w:qFormat/>
    <w:uiPriority w:val="0"/>
    <w:pPr>
      <w:tabs>
        <w:tab w:val="left" w:pos="1080"/>
      </w:tabs>
      <w:ind w:left="1080" w:hanging="1080"/>
    </w:pPr>
  </w:style>
  <w:style w:type="paragraph" w:customStyle="1" w:styleId="895">
    <w:name w:val="数字标题1"/>
    <w:basedOn w:val="5"/>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3"/>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2"/>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9"/>
    <w:qFormat/>
    <w:uiPriority w:val="0"/>
    <w:rPr>
      <w:kern w:val="2"/>
      <w:sz w:val="21"/>
      <w:szCs w:val="24"/>
      <w:lang w:val="zh-CN"/>
    </w:rPr>
  </w:style>
  <w:style w:type="character" w:customStyle="1" w:styleId="931">
    <w:name w:val="无间隔 Char"/>
    <w:link w:val="483"/>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8"/>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3">
    <w:name w:val="[Normal]"/>
    <w:basedOn w:val="1"/>
    <w:qFormat/>
    <w:uiPriority w:val="0"/>
    <w:pPr>
      <w:widowControl/>
      <w:jc w:val="left"/>
    </w:pPr>
    <w:rPr>
      <w:rFonts w:ascii="宋体" w:hAnsi="宋体" w:cs="宋体"/>
      <w:kern w:val="0"/>
      <w:sz w:val="24"/>
    </w:rPr>
  </w:style>
  <w:style w:type="paragraph" w:customStyle="1" w:styleId="964">
    <w:name w:val="DAS正文"/>
    <w:basedOn w:val="1"/>
    <w:qFormat/>
    <w:uiPriority w:val="0"/>
    <w:pPr>
      <w:ind w:right="181" w:firstLine="480"/>
    </w:pPr>
    <w:rPr>
      <w:rFonts w:ascii="Verdana" w:hAnsi="Verdana"/>
      <w:sz w:val="24"/>
    </w:rPr>
  </w:style>
  <w:style w:type="paragraph" w:customStyle="1" w:styleId="965">
    <w:name w:val="BodyText1I2"/>
    <w:basedOn w:val="1"/>
    <w:qFormat/>
    <w:uiPriority w:val="0"/>
    <w:pPr>
      <w:spacing w:line="360" w:lineRule="auto"/>
      <w:ind w:firstLine="200" w:firstLineChars="200"/>
      <w:textAlignment w:val="baseline"/>
    </w:pPr>
    <w:rPr>
      <w:rFonts w:eastAsia="仿宋"/>
      <w:sz w:val="28"/>
    </w:rPr>
  </w:style>
  <w:style w:type="table" w:customStyle="1" w:styleId="966">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77</Pages>
  <Words>37363</Words>
  <Characters>41135</Characters>
  <Lines>323</Lines>
  <Paragraphs>91</Paragraphs>
  <TotalTime>17</TotalTime>
  <ScaleCrop>false</ScaleCrop>
  <LinksUpToDate>false</LinksUpToDate>
  <CharactersWithSpaces>46897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青春 少年</cp:lastModifiedBy>
  <cp:lastPrinted>2023-09-05T02:34:00Z</cp:lastPrinted>
  <dcterms:modified xsi:type="dcterms:W3CDTF">2023-09-11T01:26:45Z</dcterms:modified>
  <dc:title>杭州市市民卡扩大发卡工程</dc:title>
  <cp:revision>350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6339F1040E1941BDB4D63B2BF1D8C2DA_13</vt:lpwstr>
  </property>
</Properties>
</file>