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highlight w:val="none"/>
        </w:rPr>
      </w:pPr>
      <w:r>
        <w:rPr>
          <w:rFonts w:hint="eastAsia" w:ascii="宋体" w:hAnsi="宋体"/>
          <w:b/>
          <w:bCs/>
          <w:sz w:val="32"/>
          <w:szCs w:val="32"/>
          <w:highlight w:val="none"/>
          <w:lang w:eastAsia="zh-CN"/>
        </w:rPr>
        <w:drawing>
          <wp:inline distT="0" distB="0" distL="114300" distR="114300">
            <wp:extent cx="6083935" cy="9103360"/>
            <wp:effectExtent l="0" t="0" r="12065" b="2540"/>
            <wp:docPr id="1" name="图片 1" descr="61693856635dbbe58d609dbd7fab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693856635dbbe58d609dbd7fab822"/>
                    <pic:cNvPicPr>
                      <a:picLocks noChangeAspect="1"/>
                    </pic:cNvPicPr>
                  </pic:nvPicPr>
                  <pic:blipFill>
                    <a:blip r:embed="rId5"/>
                    <a:stretch>
                      <a:fillRect/>
                    </a:stretch>
                  </pic:blipFill>
                  <pic:spPr>
                    <a:xfrm>
                      <a:off x="0" y="0"/>
                      <a:ext cx="6083935" cy="9103360"/>
                    </a:xfrm>
                    <a:prstGeom prst="rect">
                      <a:avLst/>
                    </a:prstGeom>
                  </pic:spPr>
                </pic:pic>
              </a:graphicData>
            </a:graphic>
          </wp:inline>
        </w:drawing>
      </w:r>
      <w:r>
        <w:rPr>
          <w:rFonts w:hint="eastAsia" w:ascii="宋体" w:hAnsi="宋体"/>
          <w:b/>
          <w:bCs/>
          <w:sz w:val="32"/>
          <w:szCs w:val="32"/>
          <w:highlight w:val="none"/>
          <w:lang w:eastAsia="zh-CN"/>
        </w:rPr>
        <w:t>市畈村特色村-村庄环境整治提升工程</w:t>
      </w:r>
      <w:r>
        <w:rPr>
          <w:rFonts w:hint="eastAsia" w:ascii="宋体" w:hAnsi="宋体"/>
          <w:b/>
          <w:bCs/>
          <w:sz w:val="32"/>
          <w:szCs w:val="32"/>
          <w:highlight w:val="none"/>
        </w:rPr>
        <w:t>交易文件补充说明</w:t>
      </w:r>
    </w:p>
    <w:p>
      <w:pPr>
        <w:tabs>
          <w:tab w:val="left" w:pos="270"/>
        </w:tabs>
        <w:spacing w:line="360" w:lineRule="auto"/>
        <w:rPr>
          <w:rFonts w:ascii="宋体" w:hAnsi="宋体"/>
          <w:sz w:val="24"/>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highlight w:val="none"/>
        </w:rPr>
      </w:pPr>
      <w:r>
        <w:rPr>
          <w:rFonts w:hint="eastAsia" w:ascii="宋体" w:hAnsi="宋体"/>
          <w:sz w:val="24"/>
          <w:highlight w:val="none"/>
        </w:rPr>
        <w:t>交易响应人仅需上传电子加密交易响应文件壹份。本交易中有关纸质文件、交易会议委托人员身份核查不作要求。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none"/>
        </w:rPr>
        <w:t>二、</w:t>
      </w:r>
      <w:r>
        <w:rPr>
          <w:rFonts w:hint="eastAsia" w:ascii="宋体" w:hAnsi="宋体"/>
          <w:b/>
          <w:bCs/>
          <w:color w:val="auto"/>
          <w:sz w:val="24"/>
          <w:highlight w:val="none"/>
          <w:u w:val="none"/>
          <w:lang w:val="en-US" w:eastAsia="zh-CN"/>
        </w:rPr>
        <w:t>交易响应担保</w:t>
      </w:r>
      <w:r>
        <w:rPr>
          <w:rFonts w:hint="eastAsia" w:ascii="宋体" w:hAnsi="宋体"/>
          <w:b/>
          <w:bCs/>
          <w:color w:val="auto"/>
          <w:sz w:val="24"/>
          <w:highlight w:val="none"/>
          <w:u w:val="none"/>
          <w:lang w:eastAsia="zh-CN"/>
        </w:rPr>
        <w:t>：</w:t>
      </w:r>
      <w:r>
        <w:rPr>
          <w:rFonts w:hint="eastAsia" w:ascii="宋体" w:hAnsi="宋体"/>
          <w:color w:val="auto"/>
          <w:sz w:val="24"/>
          <w:highlight w:val="none"/>
          <w:lang w:val="en-US" w:eastAsia="zh-CN"/>
        </w:rPr>
        <w:t>(本项目无需缴纳交易保证金）</w:t>
      </w:r>
    </w:p>
    <w:p>
      <w:pPr>
        <w:spacing w:line="360" w:lineRule="auto"/>
        <w:ind w:firstLine="542" w:firstLineChars="225"/>
        <w:rPr>
          <w:rFonts w:hint="eastAsia" w:ascii="宋体" w:hAnsi="宋体"/>
          <w:b/>
          <w:bCs/>
          <w:sz w:val="24"/>
          <w:highlight w:val="none"/>
          <w:u w:val="single"/>
        </w:rPr>
      </w:pPr>
      <w:r>
        <w:rPr>
          <w:rFonts w:hint="eastAsia" w:ascii="宋体" w:hAnsi="宋体"/>
          <w:b/>
          <w:bCs/>
          <w:sz w:val="24"/>
          <w:highlight w:val="none"/>
        </w:rPr>
        <w:t>三、评审标准及方法：</w:t>
      </w:r>
    </w:p>
    <w:p>
      <w:pPr>
        <w:spacing w:line="360" w:lineRule="auto"/>
        <w:ind w:firstLine="540" w:firstLineChars="225"/>
        <w:rPr>
          <w:rFonts w:hint="eastAsia" w:ascii="宋体" w:hAnsi="宋体"/>
          <w:b/>
          <w:color w:val="auto"/>
          <w:sz w:val="24"/>
          <w:highlight w:val="none"/>
          <w:u w:val="single"/>
        </w:rPr>
      </w:pPr>
      <w:r>
        <w:rPr>
          <w:rFonts w:hint="eastAsia" w:ascii="宋体" w:hAnsi="宋体"/>
          <w:bCs/>
          <w:sz w:val="24"/>
          <w:highlight w:val="none"/>
        </w:rPr>
        <w:t>本工程为</w:t>
      </w:r>
      <w:r>
        <w:rPr>
          <w:rFonts w:hint="eastAsia" w:ascii="宋体" w:hAnsi="宋体"/>
          <w:bCs/>
          <w:sz w:val="24"/>
          <w:highlight w:val="none"/>
          <w:u w:val="single"/>
          <w:lang w:val="en-US" w:eastAsia="zh-CN"/>
        </w:rPr>
        <w:t>市政工程</w:t>
      </w:r>
      <w:r>
        <w:rPr>
          <w:rFonts w:hint="eastAsia" w:ascii="宋体" w:hAnsi="宋体"/>
          <w:sz w:val="24"/>
          <w:highlight w:val="none"/>
          <w:u w:val="single"/>
        </w:rPr>
        <w:t>，</w:t>
      </w:r>
      <w:r>
        <w:rPr>
          <w:rFonts w:hint="eastAsia" w:ascii="宋体" w:hAnsi="宋体"/>
          <w:sz w:val="24"/>
          <w:highlight w:val="none"/>
        </w:rPr>
        <w:t>执行《淳安县限额以下公共资源交易管理暂行办法》（淳招管委〔2020〕2号）</w:t>
      </w:r>
      <w:r>
        <w:rPr>
          <w:rFonts w:hint="eastAsia" w:ascii="宋体" w:hAnsi="宋体"/>
          <w:color w:val="auto"/>
          <w:sz w:val="24"/>
          <w:highlight w:val="none"/>
        </w:rPr>
        <w:t>，采用</w:t>
      </w:r>
      <w:r>
        <w:rPr>
          <w:rFonts w:hint="eastAsia" w:ascii="宋体" w:hAnsi="宋体"/>
          <w:color w:val="auto"/>
          <w:sz w:val="24"/>
          <w:highlight w:val="none"/>
          <w:u w:val="single"/>
        </w:rPr>
        <w:t>简易评标法</w:t>
      </w:r>
      <w:r>
        <w:rPr>
          <w:rFonts w:hint="eastAsia" w:ascii="宋体" w:hAnsi="宋体"/>
          <w:color w:val="auto"/>
          <w:sz w:val="24"/>
          <w:highlight w:val="none"/>
        </w:rPr>
        <w:t>，总分100分，商务标占100%，技术标不计分。</w:t>
      </w:r>
      <w:r>
        <w:rPr>
          <w:rFonts w:hint="eastAsia" w:ascii="宋体" w:hAnsi="宋体"/>
          <w:color w:val="auto"/>
          <w:sz w:val="24"/>
          <w:highlight w:val="none"/>
          <w:lang w:val="en-US" w:eastAsia="zh-CN"/>
        </w:rPr>
        <w:t>交易响应</w:t>
      </w:r>
      <w:r>
        <w:rPr>
          <w:rFonts w:hint="eastAsia" w:ascii="宋体" w:hAnsi="宋体"/>
          <w:color w:val="auto"/>
          <w:sz w:val="24"/>
          <w:highlight w:val="none"/>
        </w:rPr>
        <w:t>有效优惠幅度为业主预算价的</w:t>
      </w:r>
      <w:r>
        <w:rPr>
          <w:rFonts w:hint="eastAsia" w:ascii="宋体" w:hAnsi="宋体"/>
          <w:b/>
          <w:bCs/>
          <w:color w:val="auto"/>
          <w:sz w:val="24"/>
          <w:highlight w:val="none"/>
          <w:u w:val="single"/>
          <w:lang w:val="en-US" w:eastAsia="zh-CN"/>
        </w:rPr>
        <w:t>7</w:t>
      </w:r>
      <w:r>
        <w:rPr>
          <w:rFonts w:hint="eastAsia" w:ascii="宋体" w:hAnsi="宋体"/>
          <w:b/>
          <w:bCs/>
          <w:color w:val="auto"/>
          <w:sz w:val="24"/>
          <w:highlight w:val="none"/>
          <w:u w:val="single"/>
        </w:rPr>
        <w:t>%～</w:t>
      </w:r>
      <w:r>
        <w:rPr>
          <w:rFonts w:hint="eastAsia" w:ascii="宋体" w:hAnsi="宋体"/>
          <w:b/>
          <w:bCs/>
          <w:color w:val="auto"/>
          <w:sz w:val="24"/>
          <w:highlight w:val="none"/>
          <w:u w:val="single"/>
          <w:lang w:val="en-US" w:eastAsia="zh-CN"/>
        </w:rPr>
        <w:t>14</w:t>
      </w:r>
      <w:r>
        <w:rPr>
          <w:rFonts w:hint="eastAsia" w:ascii="宋体" w:hAnsi="宋体"/>
          <w:b/>
          <w:bCs/>
          <w:color w:val="auto"/>
          <w:sz w:val="24"/>
          <w:highlight w:val="none"/>
          <w:u w:val="single"/>
        </w:rPr>
        <w:t>%</w:t>
      </w:r>
      <w:r>
        <w:rPr>
          <w:rFonts w:hint="eastAsia" w:ascii="宋体" w:hAnsi="宋体"/>
          <w:b/>
          <w:bCs/>
          <w:color w:val="auto"/>
          <w:sz w:val="24"/>
          <w:highlight w:val="none"/>
          <w:lang w:eastAsia="zh-CN"/>
        </w:rPr>
        <w:t>（优惠幅度每间隔0.2%设置一个优惠幅度值，</w:t>
      </w:r>
      <w:r>
        <w:rPr>
          <w:rFonts w:hint="eastAsia" w:ascii="宋体" w:hAnsi="宋体"/>
          <w:b/>
          <w:bCs/>
          <w:color w:val="auto"/>
          <w:sz w:val="24"/>
          <w:highlight w:val="none"/>
          <w:lang w:val="en-US" w:eastAsia="zh-CN"/>
        </w:rPr>
        <w:t>如7.0%、7.2%、7.4%、、、14%共36个</w:t>
      </w:r>
      <w:r>
        <w:rPr>
          <w:rFonts w:hint="eastAsia" w:ascii="宋体" w:hAnsi="宋体"/>
          <w:b/>
          <w:bCs/>
          <w:color w:val="auto"/>
          <w:sz w:val="24"/>
          <w:highlight w:val="none"/>
          <w:lang w:eastAsia="zh-CN"/>
        </w:rPr>
        <w:t>）</w:t>
      </w:r>
      <w:r>
        <w:rPr>
          <w:rFonts w:hint="eastAsia" w:ascii="宋体" w:hAnsi="宋体"/>
          <w:color w:val="auto"/>
          <w:sz w:val="24"/>
          <w:highlight w:val="none"/>
        </w:rPr>
        <w:t>，业主预算总价为</w:t>
      </w:r>
      <w:r>
        <w:rPr>
          <w:rFonts w:hint="eastAsia" w:ascii="宋体" w:hAnsi="宋体"/>
          <w:b/>
          <w:color w:val="auto"/>
          <w:sz w:val="24"/>
          <w:highlight w:val="none"/>
          <w:u w:val="single"/>
          <w:lang w:val="en-US" w:eastAsia="zh-CN"/>
        </w:rPr>
        <w:t>1172144.00</w:t>
      </w:r>
      <w:r>
        <w:rPr>
          <w:rFonts w:hint="eastAsia" w:ascii="宋体" w:hAnsi="宋体"/>
          <w:b/>
          <w:color w:val="auto"/>
          <w:sz w:val="24"/>
          <w:highlight w:val="none"/>
        </w:rPr>
        <w:t>元（其中暂列金、专业工程暂估价</w:t>
      </w:r>
      <w:r>
        <w:rPr>
          <w:rFonts w:hint="eastAsia" w:ascii="宋体" w:hAnsi="宋体"/>
          <w:b/>
          <w:color w:val="auto"/>
          <w:sz w:val="24"/>
          <w:highlight w:val="none"/>
          <w:lang w:eastAsia="zh-CN"/>
        </w:rPr>
        <w:t>、材料暂估价</w:t>
      </w:r>
      <w:r>
        <w:rPr>
          <w:rFonts w:hint="eastAsia" w:ascii="宋体" w:hAnsi="宋体"/>
          <w:b/>
          <w:color w:val="auto"/>
          <w:sz w:val="24"/>
          <w:highlight w:val="none"/>
        </w:rPr>
        <w:t>不优惠，暂列金为</w:t>
      </w:r>
      <w:r>
        <w:rPr>
          <w:rFonts w:hint="eastAsia" w:ascii="宋体" w:hAnsi="宋体"/>
          <w:b/>
          <w:color w:val="auto"/>
          <w:sz w:val="24"/>
          <w:highlight w:val="none"/>
          <w:u w:val="single"/>
          <w:lang w:val="en-US" w:eastAsia="zh-CN"/>
        </w:rPr>
        <w:t>55816.72</w:t>
      </w:r>
      <w:r>
        <w:rPr>
          <w:rFonts w:hint="eastAsia" w:ascii="宋体" w:hAnsi="宋体"/>
          <w:color w:val="auto"/>
          <w:sz w:val="24"/>
          <w:highlight w:val="none"/>
        </w:rPr>
        <w:t>元，</w:t>
      </w:r>
      <w:r>
        <w:rPr>
          <w:rFonts w:hint="eastAsia" w:ascii="宋体" w:hAnsi="宋体"/>
          <w:b/>
          <w:color w:val="auto"/>
          <w:sz w:val="24"/>
          <w:highlight w:val="none"/>
        </w:rPr>
        <w:t>专业暂估价为</w:t>
      </w:r>
      <w:r>
        <w:rPr>
          <w:rFonts w:hint="eastAsia" w:ascii="宋体" w:hAnsi="宋体"/>
          <w:b/>
          <w:color w:val="auto"/>
          <w:sz w:val="24"/>
          <w:highlight w:val="none"/>
          <w:u w:val="single"/>
          <w:lang w:val="en-US" w:eastAsia="zh-CN"/>
        </w:rPr>
        <w:t>38847.60</w:t>
      </w:r>
      <w:r>
        <w:rPr>
          <w:rFonts w:hint="eastAsia" w:ascii="宋体" w:hAnsi="宋体"/>
          <w:b/>
          <w:color w:val="auto"/>
          <w:sz w:val="24"/>
          <w:highlight w:val="none"/>
        </w:rPr>
        <w:t>元，材料暂估价为</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0.00 </w:t>
      </w:r>
      <w:r>
        <w:rPr>
          <w:rFonts w:hint="eastAsia" w:ascii="宋体" w:hAnsi="宋体"/>
          <w:b/>
          <w:color w:val="auto"/>
          <w:sz w:val="24"/>
          <w:highlight w:val="none"/>
        </w:rPr>
        <w:t>元）</w:t>
      </w:r>
      <w:r>
        <w:rPr>
          <w:rFonts w:hint="eastAsia" w:ascii="宋体" w:hAnsi="宋体"/>
          <w:bCs/>
          <w:color w:val="auto"/>
          <w:sz w:val="24"/>
          <w:highlight w:val="none"/>
        </w:rPr>
        <w:t>，</w:t>
      </w:r>
      <w:r>
        <w:rPr>
          <w:rFonts w:hint="eastAsia" w:ascii="宋体" w:hAnsi="宋体"/>
          <w:sz w:val="24"/>
          <w:highlight w:val="none"/>
        </w:rPr>
        <w:t>交易响应</w:t>
      </w:r>
      <w:r>
        <w:rPr>
          <w:rFonts w:hint="eastAsia" w:ascii="宋体" w:hAnsi="宋体"/>
          <w:color w:val="auto"/>
          <w:sz w:val="24"/>
          <w:highlight w:val="none"/>
        </w:rPr>
        <w:t>报价必</w:t>
      </w:r>
      <w:r>
        <w:rPr>
          <w:rFonts w:hint="eastAsia" w:ascii="宋体" w:hAnsi="宋体"/>
          <w:bCs/>
          <w:color w:val="auto"/>
          <w:sz w:val="24"/>
          <w:highlight w:val="none"/>
        </w:rPr>
        <w:t>须在</w:t>
      </w:r>
      <w:r>
        <w:rPr>
          <w:rFonts w:hint="eastAsia" w:ascii="宋体" w:hAnsi="宋体"/>
          <w:b/>
          <w:bCs w:val="0"/>
          <w:color w:val="auto"/>
          <w:sz w:val="24"/>
          <w:highlight w:val="none"/>
          <w:u w:val="single"/>
          <w:lang w:val="en-US" w:eastAsia="zh-CN"/>
        </w:rPr>
        <w:t>1021296.84</w:t>
      </w:r>
      <w:r>
        <w:rPr>
          <w:rFonts w:hint="eastAsia" w:ascii="宋体" w:hAnsi="宋体"/>
          <w:b/>
          <w:bCs w:val="0"/>
          <w:color w:val="auto"/>
          <w:sz w:val="24"/>
          <w:highlight w:val="none"/>
        </w:rPr>
        <w:t>元～</w:t>
      </w:r>
      <w:r>
        <w:rPr>
          <w:rFonts w:hint="eastAsia" w:ascii="宋体" w:hAnsi="宋体"/>
          <w:b/>
          <w:bCs w:val="0"/>
          <w:color w:val="auto"/>
          <w:sz w:val="24"/>
          <w:highlight w:val="none"/>
          <w:u w:val="single"/>
          <w:lang w:val="en-US" w:eastAsia="zh-CN"/>
        </w:rPr>
        <w:t>1096720.42</w:t>
      </w:r>
      <w:r>
        <w:rPr>
          <w:rFonts w:hint="eastAsia" w:ascii="宋体" w:hAnsi="宋体"/>
          <w:b/>
          <w:color w:val="auto"/>
          <w:sz w:val="24"/>
          <w:highlight w:val="none"/>
        </w:rPr>
        <w:t>元</w:t>
      </w:r>
      <w:r>
        <w:rPr>
          <w:rFonts w:hint="eastAsia" w:ascii="宋体" w:hAnsi="宋体"/>
          <w:color w:val="auto"/>
          <w:sz w:val="24"/>
          <w:highlight w:val="none"/>
        </w:rPr>
        <w:t>范围，否则将</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r>
        <w:rPr>
          <w:rFonts w:hint="eastAsia" w:ascii="宋体" w:hAnsi="宋体"/>
          <w:color w:val="auto"/>
          <w:sz w:val="24"/>
          <w:highlight w:val="none"/>
          <w:lang w:val="en-US" w:eastAsia="zh-CN"/>
        </w:rPr>
        <w:t>评审</w:t>
      </w:r>
      <w:r>
        <w:rPr>
          <w:rFonts w:hint="eastAsia" w:ascii="宋体" w:hAnsi="宋体"/>
          <w:color w:val="auto"/>
          <w:sz w:val="24"/>
          <w:highlight w:val="none"/>
        </w:rPr>
        <w:t xml:space="preserve">基准价保留两位小数】 </w:t>
      </w:r>
    </w:p>
    <w:p>
      <w:pPr>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四、交易会议前交易响应企业应自行在淳安县公共资源交易网—会员业务系统申报注册诚信信息（http://caggzyjy.qdh.gov.cn:81/TPBidder/memberLogin</w:t>
      </w:r>
      <w:r>
        <w:rPr>
          <w:rFonts w:hint="eastAsia" w:ascii="黑体" w:hAnsi="宋体" w:eastAsia="黑体"/>
          <w:b/>
          <w:bCs/>
          <w:color w:val="auto"/>
          <w:sz w:val="24"/>
          <w:highlight w:val="none"/>
          <w:lang w:val="en-US" w:eastAsia="zh-CN"/>
        </w:rPr>
        <w:t xml:space="preserve"> </w:t>
      </w:r>
      <w:r>
        <w:rPr>
          <w:rFonts w:hint="eastAsia" w:ascii="黑体" w:hAnsi="宋体" w:eastAsia="黑体"/>
          <w:b/>
          <w:bCs/>
          <w:color w:val="auto"/>
          <w:sz w:val="24"/>
          <w:highlight w:val="none"/>
        </w:rPr>
        <w:t>），并确认拟派项目经理。交易发起人在交易响应截止时间（交易会议时间）和规定的地点公开交易。</w:t>
      </w:r>
    </w:p>
    <w:p>
      <w:pPr>
        <w:spacing w:line="360" w:lineRule="auto"/>
        <w:ind w:firstLine="540" w:firstLineChars="225"/>
        <w:rPr>
          <w:rFonts w:hint="eastAsia" w:ascii="黑体" w:hAnsi="黑体" w:eastAsia="黑体" w:cs="黑体"/>
          <w:b w:val="0"/>
          <w:bCs/>
          <w:color w:val="auto"/>
          <w:sz w:val="24"/>
          <w:highlight w:val="none"/>
        </w:rPr>
      </w:pPr>
      <w:r>
        <w:rPr>
          <w:rFonts w:hint="eastAsia" w:ascii="黑体" w:hAnsi="宋体" w:eastAsia="黑体"/>
          <w:color w:val="auto"/>
          <w:sz w:val="24"/>
          <w:highlight w:val="none"/>
        </w:rPr>
        <w:t>五、</w:t>
      </w:r>
      <w:r>
        <w:rPr>
          <w:rFonts w:hint="eastAsia" w:ascii="黑体" w:hAnsi="宋体" w:eastAsia="黑体"/>
          <w:sz w:val="24"/>
          <w:highlight w:val="none"/>
        </w:rPr>
        <w:t>交易响应人资格要求</w:t>
      </w:r>
    </w:p>
    <w:p>
      <w:pPr>
        <w:spacing w:line="360" w:lineRule="auto"/>
        <w:ind w:firstLine="540" w:firstLineChars="225"/>
        <w:rPr>
          <w:rFonts w:hint="eastAsia" w:ascii="黑体" w:hAnsi="黑体" w:eastAsia="黑体" w:cs="黑体"/>
          <w:b w:val="0"/>
          <w:bCs/>
          <w:color w:val="auto"/>
          <w:sz w:val="24"/>
          <w:highlight w:val="none"/>
          <w:u w:val="single"/>
        </w:rPr>
      </w:pPr>
      <w:r>
        <w:rPr>
          <w:rFonts w:hint="eastAsia" w:ascii="黑体" w:hAnsi="黑体" w:eastAsia="黑体" w:cs="黑体"/>
          <w:b w:val="0"/>
          <w:bCs/>
          <w:color w:val="auto"/>
          <w:sz w:val="24"/>
          <w:highlight w:val="none"/>
        </w:rPr>
        <w:t>1.本次交易要求交易响应人须具备</w:t>
      </w:r>
      <w:r>
        <w:rPr>
          <w:rFonts w:hint="eastAsia" w:ascii="黑体" w:hAnsi="黑体" w:eastAsia="黑体" w:cs="黑体"/>
          <w:b w:val="0"/>
          <w:bCs/>
          <w:color w:val="auto"/>
          <w:sz w:val="24"/>
          <w:highlight w:val="none"/>
          <w:u w:val="single"/>
          <w:lang w:eastAsia="zh-CN"/>
        </w:rPr>
        <w:t>注册在淳安县或注册在“飞地”税收缴纳在淳安的</w:t>
      </w:r>
      <w:r>
        <w:rPr>
          <w:rFonts w:hint="eastAsia" w:ascii="黑体" w:hAnsi="黑体" w:eastAsia="黑体" w:cs="黑体"/>
          <w:b w:val="0"/>
          <w:bCs/>
          <w:color w:val="auto"/>
          <w:sz w:val="24"/>
          <w:highlight w:val="none"/>
          <w:u w:val="single"/>
          <w:lang w:val="en-US" w:eastAsia="zh-CN"/>
        </w:rPr>
        <w:t>市政公用工程施工总承包企业资质三级及以上</w:t>
      </w:r>
      <w:r>
        <w:rPr>
          <w:rFonts w:hint="eastAsia" w:ascii="黑体" w:hAnsi="黑体" w:eastAsia="黑体" w:cs="黑体"/>
          <w:b w:val="0"/>
          <w:bCs/>
          <w:color w:val="auto"/>
          <w:sz w:val="24"/>
          <w:highlight w:val="none"/>
          <w:u w:val="single"/>
          <w:lang w:eastAsia="zh-CN"/>
        </w:rPr>
        <w:t>，</w:t>
      </w:r>
      <w:r>
        <w:rPr>
          <w:rFonts w:hint="eastAsia" w:hAnsi="宋体"/>
          <w:i/>
          <w:iCs/>
          <w:color w:val="FF0000"/>
          <w:highlight w:val="yellow"/>
          <w:u w:val="single"/>
        </w:rPr>
        <w:t>且在“浙江省建筑市场监管公共服务系统”上资质动态核查结果处于“合格”状态）</w:t>
      </w:r>
      <w:r>
        <w:rPr>
          <w:rFonts w:hint="eastAsia" w:ascii="黑体" w:hAnsi="宋体" w:eastAsia="黑体"/>
          <w:sz w:val="24"/>
          <w:u w:val="single"/>
        </w:rPr>
        <w:t>，</w:t>
      </w:r>
      <w:r>
        <w:rPr>
          <w:rFonts w:hint="eastAsia" w:ascii="黑体" w:hAnsi="黑体" w:eastAsia="黑体" w:cs="黑体"/>
          <w:b w:val="0"/>
          <w:bCs/>
          <w:color w:val="auto"/>
          <w:sz w:val="24"/>
          <w:highlight w:val="none"/>
          <w:u w:val="single"/>
          <w:lang w:eastAsia="zh-CN"/>
        </w:rPr>
        <w:t>具备《安全生产许可证》、《营业执照》的独立</w:t>
      </w:r>
      <w:r>
        <w:rPr>
          <w:rFonts w:hint="eastAsia" w:ascii="黑体" w:hAnsi="黑体" w:eastAsia="黑体" w:cs="黑体"/>
          <w:b w:val="0"/>
          <w:bCs/>
          <w:color w:val="auto"/>
          <w:sz w:val="24"/>
          <w:highlight w:val="none"/>
          <w:u w:val="single"/>
        </w:rPr>
        <w:t>法人；</w:t>
      </w:r>
    </w:p>
    <w:p>
      <w:pPr>
        <w:tabs>
          <w:tab w:val="left" w:pos="270"/>
        </w:tabs>
        <w:spacing w:line="360" w:lineRule="auto"/>
        <w:ind w:firstLine="480" w:firstLineChars="200"/>
        <w:jc w:val="left"/>
        <w:rPr>
          <w:rFonts w:hint="eastAsia"/>
        </w:rPr>
      </w:pPr>
      <w:r>
        <w:rPr>
          <w:rFonts w:hint="eastAsia" w:ascii="黑体" w:hAnsi="黑体" w:eastAsia="黑体" w:cs="黑体"/>
          <w:b w:val="0"/>
          <w:bCs/>
          <w:color w:val="auto"/>
          <w:sz w:val="24"/>
          <w:highlight w:val="none"/>
        </w:rPr>
        <w:t>2.本次交易要求</w:t>
      </w:r>
      <w:r>
        <w:rPr>
          <w:rFonts w:hint="eastAsia" w:ascii="黑体" w:hAnsi="宋体" w:eastAsia="黑体"/>
          <w:sz w:val="24"/>
          <w:highlight w:val="none"/>
        </w:rPr>
        <w:t>交易响应人</w:t>
      </w:r>
      <w:r>
        <w:rPr>
          <w:rFonts w:hint="eastAsia" w:ascii="黑体" w:hAnsi="黑体" w:eastAsia="黑体" w:cs="黑体"/>
          <w:b w:val="0"/>
          <w:bCs/>
          <w:color w:val="auto"/>
          <w:sz w:val="24"/>
          <w:highlight w:val="none"/>
        </w:rPr>
        <w:t>的项目经理</w:t>
      </w:r>
      <w:r>
        <w:rPr>
          <w:rFonts w:hint="eastAsia" w:ascii="黑体" w:hAnsi="黑体" w:eastAsia="黑体" w:cs="黑体"/>
          <w:b w:val="0"/>
          <w:bCs/>
          <w:color w:val="auto"/>
          <w:sz w:val="24"/>
          <w:highlight w:val="none"/>
          <w:u w:val="none"/>
        </w:rPr>
        <w:t>须具备</w:t>
      </w:r>
      <w:r>
        <w:rPr>
          <w:rFonts w:hint="eastAsia" w:ascii="黑体" w:hAnsi="黑体" w:eastAsia="黑体" w:cs="黑体"/>
          <w:b w:val="0"/>
          <w:bCs/>
          <w:color w:val="auto"/>
          <w:sz w:val="24"/>
          <w:highlight w:val="none"/>
          <w:u w:val="single"/>
          <w:lang w:val="en-US" w:eastAsia="zh-CN"/>
        </w:rPr>
        <w:t>市政公用工程二级及以上建造师</w:t>
      </w:r>
      <w:r>
        <w:rPr>
          <w:rFonts w:hint="eastAsia" w:ascii="黑体" w:hAnsi="黑体" w:eastAsia="黑体" w:cs="黑体"/>
          <w:b w:val="0"/>
          <w:bCs/>
          <w:color w:val="auto"/>
          <w:sz w:val="24"/>
          <w:highlight w:val="none"/>
          <w:u w:val="single"/>
        </w:rPr>
        <w:t>原件复印件加盖公章（须同时提供</w:t>
      </w:r>
      <w:r>
        <w:rPr>
          <w:rFonts w:hint="eastAsia" w:ascii="黑体" w:hAnsi="黑体" w:eastAsia="黑体" w:cs="黑体"/>
          <w:b w:val="0"/>
          <w:bCs/>
          <w:color w:val="auto"/>
          <w:sz w:val="24"/>
          <w:highlight w:val="none"/>
          <w:u w:val="single"/>
          <w:lang w:val="en-US" w:eastAsia="zh-CN"/>
        </w:rPr>
        <w:t>2023年12</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eastAsia="zh-CN"/>
        </w:rPr>
        <w:t>、</w:t>
      </w:r>
      <w:r>
        <w:rPr>
          <w:rFonts w:hint="eastAsia" w:ascii="黑体" w:hAnsi="黑体" w:eastAsia="黑体" w:cs="黑体"/>
          <w:b w:val="0"/>
          <w:bCs/>
          <w:color w:val="auto"/>
          <w:sz w:val="24"/>
          <w:highlight w:val="none"/>
          <w:u w:val="single"/>
          <w:lang w:val="en-US" w:eastAsia="zh-CN"/>
        </w:rPr>
        <w:t>2024年01</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02</w:t>
      </w:r>
      <w:r>
        <w:rPr>
          <w:rFonts w:hint="eastAsia" w:ascii="黑体" w:hAnsi="黑体" w:eastAsia="黑体" w:cs="黑体"/>
          <w:b w:val="0"/>
          <w:bCs/>
          <w:color w:val="auto"/>
          <w:sz w:val="24"/>
          <w:highlight w:val="none"/>
          <w:u w:val="single"/>
        </w:rPr>
        <w:t>月在本公司缴纳的社会保险证明），并取得项目经理安全生产考核合格证书（B类证书）。</w:t>
      </w:r>
      <w:r>
        <w:rPr>
          <w:rFonts w:hint="eastAsia" w:ascii="黑体" w:hAnsi="黑体" w:eastAsia="黑体" w:cs="黑体"/>
          <w:b w:val="0"/>
          <w:bCs/>
          <w:color w:val="FF0000"/>
          <w:sz w:val="24"/>
          <w:highlight w:val="none"/>
          <w:u w:val="single"/>
        </w:rPr>
        <w:t>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w:t>
      </w:r>
      <w:r>
        <w:rPr>
          <w:rFonts w:hint="eastAsia" w:ascii="宋体" w:hAnsi="宋体"/>
          <w:i/>
          <w:iCs/>
          <w:color w:val="FF0000"/>
          <w:spacing w:val="-4"/>
          <w:highlight w:val="yellow"/>
        </w:rPr>
        <w:t>资质动态核查结果证明</w:t>
      </w:r>
      <w:r>
        <w:rPr>
          <w:rFonts w:hint="eastAsia" w:ascii="宋体" w:hAnsi="宋体"/>
          <w:i/>
          <w:iCs/>
          <w:color w:val="FF0000"/>
          <w:spacing w:val="-4"/>
        </w:rPr>
        <w:t>（证明日期在交易公告发布之日至交易响应截止日之间）、</w:t>
      </w:r>
      <w:r>
        <w:rPr>
          <w:rFonts w:hint="eastAsia" w:ascii="黑体" w:hAnsi="宋体" w:eastAsia="黑体"/>
          <w:color w:val="auto"/>
          <w:sz w:val="24"/>
          <w:highlight w:val="none"/>
        </w:rPr>
        <w:t>安全生产许可证、项目经理注册证书及安全生产考核合格证书（B类证书）、项目经理社会保险证明复印件及其他资格后审资料复印件，否则该企业交易响应文件无效。</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lang w:eastAsia="zh-CN"/>
        </w:rPr>
        <w:t>九</w:t>
      </w:r>
      <w:r>
        <w:rPr>
          <w:rFonts w:hint="eastAsia" w:ascii="黑体" w:hAnsi="宋体" w:eastAsia="黑体" w:cs="Times New Roman"/>
          <w:color w:val="auto"/>
          <w:sz w:val="24"/>
          <w:highlight w:val="none"/>
        </w:rPr>
        <w:t>、</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通知书发放后，请</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sz w:val="24"/>
          <w:highlight w:val="none"/>
        </w:rPr>
      </w:pPr>
      <w:r>
        <w:rPr>
          <w:rFonts w:hint="eastAsia" w:ascii="黑体" w:hAnsi="宋体" w:eastAsia="黑体"/>
          <w:sz w:val="24"/>
          <w:highlight w:val="none"/>
          <w:u w:val="single"/>
          <w:lang w:val="en-US" w:eastAsia="zh-CN"/>
        </w:rPr>
        <w:t>十一</w:t>
      </w:r>
      <w:r>
        <w:rPr>
          <w:rFonts w:hint="eastAsia" w:ascii="黑体" w:hAnsi="宋体" w:eastAsia="黑体"/>
          <w:sz w:val="24"/>
          <w:highlight w:val="none"/>
          <w:u w:val="single"/>
        </w:rPr>
        <w:t>、工期奖罚：因承包人原因造成延误工期，每延误一天按500元对承包人罚款，但最多不超过工程合同价款的5%</w:t>
      </w:r>
      <w:r>
        <w:rPr>
          <w:rFonts w:hint="eastAsia" w:ascii="黑体" w:hAnsi="宋体" w:eastAsia="黑体"/>
          <w:sz w:val="24"/>
          <w:highlight w:val="none"/>
          <w:u w:val="single"/>
          <w:lang w:eastAsia="zh-CN"/>
        </w:rPr>
        <w:t>，</w:t>
      </w:r>
      <w:r>
        <w:rPr>
          <w:rFonts w:hint="eastAsia" w:ascii="黑体" w:hAnsi="宋体" w:eastAsia="黑体"/>
          <w:sz w:val="24"/>
          <w:highlight w:val="none"/>
          <w:u w:val="single"/>
          <w:lang w:val="en-US" w:eastAsia="zh-CN"/>
        </w:rPr>
        <w:t>工期提前不设奖励。</w:t>
      </w:r>
      <w:r>
        <w:rPr>
          <w:rFonts w:hint="eastAsia" w:ascii="黑体" w:hAnsi="宋体" w:eastAsia="黑体"/>
          <w:sz w:val="24"/>
          <w:highlight w:val="none"/>
        </w:rPr>
        <w:t>（在交易响应函附录中必填）</w:t>
      </w:r>
    </w:p>
    <w:p>
      <w:pPr>
        <w:tabs>
          <w:tab w:val="left" w:pos="360"/>
        </w:tabs>
        <w:spacing w:line="360" w:lineRule="auto"/>
        <w:ind w:firstLine="480" w:firstLineChars="200"/>
        <w:rPr>
          <w:rFonts w:hint="eastAsia" w:ascii="黑体" w:hAnsi="宋体" w:eastAsia="黑体"/>
          <w:sz w:val="24"/>
          <w:highlight w:val="none"/>
          <w:u w:val="single"/>
        </w:rPr>
      </w:pPr>
      <w:r>
        <w:rPr>
          <w:rFonts w:hint="eastAsia" w:ascii="黑体" w:eastAsia="黑体"/>
          <w:sz w:val="24"/>
          <w:highlight w:val="none"/>
        </w:rPr>
        <w:t>十</w:t>
      </w:r>
      <w:r>
        <w:rPr>
          <w:rFonts w:hint="eastAsia" w:ascii="黑体" w:eastAsia="黑体"/>
          <w:sz w:val="24"/>
          <w:highlight w:val="none"/>
          <w:lang w:val="en-US" w:eastAsia="zh-CN"/>
        </w:rPr>
        <w:t>二</w:t>
      </w:r>
      <w:r>
        <w:rPr>
          <w:rFonts w:hint="eastAsia" w:ascii="黑体" w:eastAsia="黑体"/>
          <w:sz w:val="24"/>
          <w:highlight w:val="none"/>
        </w:rPr>
        <w:t>、</w:t>
      </w:r>
      <w:r>
        <w:rPr>
          <w:rFonts w:hint="eastAsia" w:ascii="黑体" w:hAnsi="宋体" w:eastAsia="黑体"/>
          <w:sz w:val="24"/>
          <w:highlight w:val="none"/>
          <w:u w:val="singl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三</w:t>
      </w:r>
      <w:r>
        <w:rPr>
          <w:rFonts w:hint="eastAsia" w:ascii="黑体" w:hAnsi="宋体" w:eastAsia="黑体" w:cs="Times New Roman"/>
          <w:sz w:val="24"/>
          <w:highlight w:val="none"/>
          <w:u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任何单位、个人进行加工、销售、利用。</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四</w:t>
      </w:r>
      <w:r>
        <w:rPr>
          <w:rFonts w:hint="eastAsia" w:ascii="黑体" w:hAnsi="宋体" w:eastAsia="黑体" w:cs="Times New Roman"/>
          <w:sz w:val="24"/>
          <w:highlight w:val="none"/>
          <w:u w:val="none"/>
        </w:rPr>
        <w:t>、依据《关于工程建设领域推行应用“真薪”平台的实施意见》（淳治薪发〔2021〕1号）文件要求，成交企业须通过“真薪”平台进行电子劳动合同签订和每日三方记工考勤确认，切实强化实名制用工管理。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五</w:t>
      </w:r>
      <w:r>
        <w:rPr>
          <w:rFonts w:hint="eastAsia" w:ascii="黑体" w:hAnsi="宋体" w:eastAsia="黑体" w:cs="Times New Roman"/>
          <w:sz w:val="24"/>
          <w:highlight w:val="none"/>
          <w:u w:val="none"/>
        </w:rPr>
        <w:t>、交易响应人或其他利害关系人可以依法向交易发起人提出异议，因对异议处理结果不满可依法向</w:t>
      </w:r>
      <w:r>
        <w:rPr>
          <w:rFonts w:hint="eastAsia" w:ascii="黑体" w:hAnsi="宋体" w:eastAsia="黑体" w:cs="Times New Roman"/>
          <w:sz w:val="24"/>
          <w:highlight w:val="none"/>
          <w:u w:val="none"/>
          <w:lang w:val="en-US" w:eastAsia="zh-CN"/>
        </w:rPr>
        <w:t>淳安县文昌镇</w:t>
      </w:r>
      <w:r>
        <w:rPr>
          <w:rFonts w:hint="eastAsia" w:ascii="黑体" w:hAnsi="宋体" w:eastAsia="黑体" w:cs="Times New Roman"/>
          <w:sz w:val="24"/>
          <w:highlight w:val="none"/>
          <w:u w:val="none"/>
        </w:rPr>
        <w:t>小额公共资源交易中心提出投诉。投诉（异议）咨询电话：</w:t>
      </w:r>
      <w:r>
        <w:rPr>
          <w:rFonts w:hint="eastAsia" w:ascii="宋体" w:hAnsi="宋体" w:eastAsia="宋体" w:cs="Times New Roman"/>
          <w:b/>
          <w:bCs/>
          <w:color w:val="auto"/>
          <w:sz w:val="24"/>
          <w:highlight w:val="none"/>
          <w:lang w:val="en-US" w:eastAsia="zh-CN"/>
        </w:rPr>
        <w:t>65056013</w:t>
      </w:r>
      <w:r>
        <w:rPr>
          <w:rFonts w:hint="eastAsia" w:ascii="黑体" w:hAnsi="宋体" w:eastAsia="黑体" w:cs="Times New Roman"/>
          <w:sz w:val="24"/>
          <w:highlight w:val="none"/>
          <w:u w:val="none"/>
        </w:rPr>
        <w:t>，有下列情形之一的异议（投诉），不予受理：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（1）异议、投诉人不是所涉及交易活动的参与者，或者与该项目无任何利害关系；</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（2）异议、投诉书未署具投诉人真实姓名、签字和有效联系方式的；以法人名义投诉的，投诉书未经法定代表人签字并加盖公章的；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（3）异议、投诉事项不具体，相关要求及主张不明确，没有必要的证明材料且未提供有效线索，难以查证的；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（4）在成交公示期结束后对交易评审结果提出异议的；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（5）在知道或者应当知道其权益受到侵害之日起10日后提出投诉的；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（6）未先向交易发起人提出异议（投诉的前置条件）而对资格预审文件、交易文件、交易会议、交易评审结果进行投诉的；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（7）已经作出处理决定，并且异议（投诉）人没有提出新的证据的；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（8）投诉事项已进入行政复议或者行政诉讼程序的；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注：异议（投诉）人须携带法人委托书或法人资格证明、本人身份证原件及书面（异议）投诉原件。</w:t>
      </w:r>
    </w:p>
    <w:p>
      <w:pPr>
        <w:widowControl/>
        <w:spacing w:line="360" w:lineRule="auto"/>
        <w:jc w:val="left"/>
        <w:rPr>
          <w:rFonts w:hint="eastAsia" w:ascii="黑体" w:hAnsi="宋体" w:eastAsia="黑体" w:cs="Times New Roman"/>
          <w:b/>
          <w:bCs/>
          <w:color w:val="FF0000"/>
          <w:sz w:val="24"/>
          <w:highlight w:val="none"/>
          <w:u w:val="none"/>
        </w:rPr>
      </w:pPr>
      <w:r>
        <w:rPr>
          <w:rFonts w:hint="eastAsia" w:ascii="宋体" w:hAnsi="宋体"/>
          <w:b/>
          <w:sz w:val="24"/>
          <w:highlight w:val="none"/>
          <w:lang w:val="en-US" w:eastAsia="zh-CN"/>
        </w:rPr>
        <w:t xml:space="preserve">   </w:t>
      </w:r>
      <w:r>
        <w:rPr>
          <w:rFonts w:hint="eastAsia" w:ascii="黑体" w:hAnsi="宋体" w:eastAsia="黑体" w:cs="Times New Roman"/>
          <w:b/>
          <w:bCs/>
          <w:color w:val="FF0000"/>
          <w:sz w:val="24"/>
          <w:highlight w:val="none"/>
          <w:u w:val="none"/>
          <w:lang w:val="en-US" w:eastAsia="zh-CN"/>
        </w:rPr>
        <w:t xml:space="preserve"> </w:t>
      </w: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rPr>
      </w:pPr>
    </w:p>
    <w:p>
      <w:pPr>
        <w:widowControl/>
        <w:spacing w:line="360" w:lineRule="auto"/>
        <w:jc w:val="both"/>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center"/>
        <w:rPr>
          <w:rFonts w:ascii="宋体" w:hAnsi="宋体" w:cs="宋体"/>
          <w:b/>
          <w:kern w:val="0"/>
          <w:sz w:val="32"/>
          <w:szCs w:val="32"/>
          <w:u w:val="single"/>
        </w:rPr>
      </w:pP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sz w:val="24"/>
          <w:highlight w:val="none"/>
        </w:rPr>
        <w:t xml:space="preserve"> 交易响应</w:t>
      </w:r>
      <w:r>
        <w:rPr>
          <w:rFonts w:hint="eastAsia" w:ascii="宋体" w:hAnsi="宋体" w:cs="宋体"/>
          <w:kern w:val="0"/>
          <w:sz w:val="24"/>
          <w:highlight w:val="none"/>
        </w:rPr>
        <w:t>文件无虚假不实的内容。若交易评审过程中查有虚假，同意作无效</w:t>
      </w:r>
      <w:r>
        <w:rPr>
          <w:rFonts w:hint="eastAsia" w:ascii="宋体" w:hAnsi="宋体"/>
          <w:sz w:val="24"/>
          <w:highlight w:val="none"/>
        </w:rPr>
        <w:t>交易响应</w:t>
      </w:r>
      <w:r>
        <w:rPr>
          <w:rFonts w:hint="eastAsia" w:ascii="宋体" w:hAnsi="宋体" w:cs="宋体"/>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3.保证本公司</w:t>
      </w:r>
      <w:r>
        <w:rPr>
          <w:rFonts w:hint="eastAsia" w:ascii="宋体" w:hAnsi="宋体"/>
          <w:sz w:val="24"/>
          <w:highlight w:val="none"/>
        </w:rPr>
        <w:t>交易响应</w:t>
      </w:r>
      <w:r>
        <w:rPr>
          <w:rFonts w:hint="eastAsia" w:ascii="宋体" w:hAnsi="宋体"/>
          <w:sz w:val="24"/>
          <w:highlight w:val="none"/>
          <w:lang w:eastAsia="zh-CN"/>
        </w:rPr>
        <w:t>人</w:t>
      </w:r>
      <w:r>
        <w:rPr>
          <w:rFonts w:hint="eastAsia" w:ascii="宋体" w:hAnsi="宋体" w:cs="宋体"/>
          <w:kern w:val="0"/>
          <w:sz w:val="24"/>
          <w:highlight w:val="none"/>
        </w:rPr>
        <w:t>项目经理</w:t>
      </w:r>
      <w:r>
        <w:rPr>
          <w:rFonts w:hint="eastAsia" w:ascii="宋体" w:hAnsi="宋体" w:cs="宋体"/>
          <w:kern w:val="0"/>
          <w:sz w:val="24"/>
          <w:highlight w:val="none"/>
          <w:u w:val="single"/>
        </w:rPr>
        <w:t xml:space="preserve">（姓名及身份证号码）              </w:t>
      </w:r>
      <w:r>
        <w:rPr>
          <w:rFonts w:hint="eastAsia" w:ascii="宋体" w:hAnsi="宋体" w:cs="宋体"/>
          <w:kern w:val="0"/>
          <w:sz w:val="24"/>
          <w:highlight w:val="none"/>
        </w:rPr>
        <w:t>无在建施工工程项目（有在建工程已经业主同意调离并在当地行业主管部门备案）。工程实施过程中，保证按照</w:t>
      </w:r>
      <w:r>
        <w:rPr>
          <w:rFonts w:hint="eastAsia" w:ascii="宋体" w:hAnsi="宋体"/>
          <w:sz w:val="24"/>
          <w:highlight w:val="none"/>
        </w:rPr>
        <w:t>交易响应</w:t>
      </w:r>
      <w:r>
        <w:rPr>
          <w:rFonts w:hint="eastAsia" w:ascii="宋体" w:hAnsi="宋体" w:cs="宋体"/>
          <w:kern w:val="0"/>
          <w:sz w:val="24"/>
          <w:highlight w:val="none"/>
        </w:rPr>
        <w:t>文件承诺派驻管理人员及投入机械设备。</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4、</w:t>
      </w:r>
      <w:r>
        <w:rPr>
          <w:rFonts w:hint="eastAsia" w:ascii="宋体" w:hAnsi="宋体"/>
          <w:sz w:val="24"/>
          <w:highlight w:val="none"/>
        </w:rPr>
        <w:t>交易响</w:t>
      </w:r>
      <w:r>
        <w:rPr>
          <w:rFonts w:hint="eastAsia" w:ascii="宋体" w:hAnsi="宋体"/>
          <w:sz w:val="24"/>
          <w:highlight w:val="none"/>
          <w:lang w:eastAsia="zh-CN"/>
        </w:rPr>
        <w:t>应</w:t>
      </w:r>
      <w:r>
        <w:rPr>
          <w:rFonts w:hint="eastAsia" w:ascii="宋体" w:hAnsi="宋体"/>
          <w:sz w:val="24"/>
          <w:highlight w:val="none"/>
        </w:rPr>
        <w:t>人</w:t>
      </w:r>
      <w:r>
        <w:rPr>
          <w:rFonts w:hint="eastAsia" w:ascii="宋体" w:hAnsi="宋体" w:cs="宋体"/>
          <w:iCs/>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5、保证本公司没有处于安全生产许可证暂扣或者吊销，</w:t>
      </w:r>
      <w:r>
        <w:rPr>
          <w:rFonts w:hint="eastAsia" w:ascii="宋体" w:hAnsi="宋体"/>
          <w:sz w:val="24"/>
          <w:highlight w:val="none"/>
        </w:rPr>
        <w:t>交易响应</w:t>
      </w:r>
      <w:r>
        <w:rPr>
          <w:rFonts w:hint="eastAsia" w:ascii="宋体" w:hAnsi="宋体" w:cs="宋体"/>
          <w:iCs/>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highlight w:val="none"/>
        </w:rPr>
      </w:pPr>
      <w:r>
        <w:rPr>
          <w:rFonts w:hint="eastAsia" w:ascii="宋体" w:hAnsi="宋体" w:cs="宋体"/>
          <w:iCs/>
          <w:kern w:val="0"/>
          <w:sz w:val="24"/>
          <w:highlight w:val="none"/>
        </w:rPr>
        <w:t>6、</w:t>
      </w:r>
      <w:r>
        <w:rPr>
          <w:rFonts w:hint="eastAsia" w:ascii="宋体" w:hAnsi="宋体"/>
          <w:iCs/>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7、保证本公司未处在财产被接管、冻结、破产状态。</w:t>
      </w:r>
    </w:p>
    <w:p>
      <w:pPr>
        <w:widowControl/>
        <w:spacing w:line="360" w:lineRule="auto"/>
        <w:ind w:firstLine="480" w:firstLineChars="200"/>
        <w:rPr>
          <w:rFonts w:hint="eastAsia" w:ascii="宋体" w:hAnsi="宋体"/>
          <w:iCs/>
          <w:sz w:val="24"/>
          <w:highlight w:val="none"/>
        </w:rPr>
      </w:pPr>
      <w:r>
        <w:rPr>
          <w:rFonts w:hint="eastAsia" w:ascii="宋体" w:hAnsi="宋体"/>
          <w:iCs/>
          <w:sz w:val="24"/>
          <w:highlight w:val="none"/>
        </w:rPr>
        <w:t>8、</w:t>
      </w:r>
      <w:r>
        <w:rPr>
          <w:rFonts w:hint="eastAsia" w:ascii="宋体" w:hAnsi="宋体"/>
          <w:sz w:val="24"/>
          <w:highlight w:val="none"/>
        </w:rPr>
        <w:t>交易响应</w:t>
      </w:r>
      <w:r>
        <w:rPr>
          <w:rFonts w:hint="eastAsia" w:ascii="宋体" w:hAnsi="宋体"/>
          <w:iCs/>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highlight w:val="none"/>
        </w:rPr>
        <w:t>交易响应</w:t>
      </w:r>
      <w:r>
        <w:rPr>
          <w:rFonts w:hint="eastAsia" w:ascii="宋体" w:hAnsi="宋体"/>
          <w:iCs/>
          <w:sz w:val="24"/>
          <w:highlight w:val="none"/>
        </w:rPr>
        <w:t>人予以追责和处罚。</w:t>
      </w:r>
    </w:p>
    <w:p>
      <w:pPr>
        <w:pStyle w:val="2"/>
        <w:ind w:firstLine="480" w:firstLineChars="200"/>
      </w:pPr>
      <w:r>
        <w:rPr>
          <w:rFonts w:hint="eastAsia" w:ascii="宋体" w:hAnsi="宋体"/>
          <w:iCs/>
          <w:sz w:val="24"/>
          <w:lang w:val="en-US" w:eastAsia="zh-CN"/>
        </w:rPr>
        <w:t>9、</w:t>
      </w:r>
      <w:r>
        <w:rPr>
          <w:rFonts w:hint="eastAsia" w:ascii="宋体" w:hAnsi="宋体" w:eastAsia="宋体" w:cs="Times New Roman"/>
          <w:iCs/>
          <w:color w:val="FF0000"/>
          <w:kern w:val="2"/>
          <w:sz w:val="24"/>
          <w:szCs w:val="24"/>
          <w:highlight w:val="none"/>
          <w:lang w:val="en-US" w:eastAsia="zh-CN" w:bidi="ar-SA"/>
        </w:rPr>
        <w:t>承诺我单位的资质条件在“</w:t>
      </w:r>
      <w:r>
        <w:rPr>
          <w:rFonts w:hint="eastAsia" w:ascii="宋体" w:hAnsi="宋体" w:eastAsia="宋体" w:cs="Times New Roman"/>
          <w:iCs/>
          <w:color w:val="FF0000"/>
          <w:kern w:val="2"/>
          <w:sz w:val="24"/>
          <w:szCs w:val="24"/>
          <w:highlight w:val="none"/>
          <w:lang w:eastAsia="zh-CN" w:bidi="ar-SA"/>
        </w:rPr>
        <w:t>浙江省建筑市场监管公共服务系统</w:t>
      </w:r>
      <w:r>
        <w:rPr>
          <w:rFonts w:hint="eastAsia" w:ascii="宋体" w:hAnsi="宋体" w:eastAsia="宋体" w:cs="Times New Roman"/>
          <w:iCs/>
          <w:color w:val="FF0000"/>
          <w:kern w:val="2"/>
          <w:sz w:val="24"/>
          <w:szCs w:val="24"/>
          <w:highlight w:val="none"/>
          <w:lang w:val="en-US" w:eastAsia="zh-CN" w:bidi="ar-SA"/>
        </w:rPr>
        <w:t>”上动态核查结果处于“合格”状态，若为“不合格”状态同意作否决投标处理</w:t>
      </w:r>
      <w:r>
        <w:rPr>
          <w:rFonts w:hint="eastAsia" w:ascii="宋体" w:hAnsi="宋体" w:eastAsia="宋体" w:cs="Times New Roman"/>
          <w:iCs/>
          <w:kern w:val="2"/>
          <w:sz w:val="24"/>
          <w:szCs w:val="24"/>
          <w:highlight w:val="none"/>
          <w:lang w:val="en-US" w:eastAsia="zh-CN" w:bidi="ar-SA"/>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hint="eastAsia" w:ascii="宋体" w:hAnsi="宋体" w:cs="宋体"/>
          <w:kern w:val="0"/>
          <w:sz w:val="24"/>
          <w:highlight w:val="none"/>
        </w:rPr>
      </w:pPr>
      <w:r>
        <w:rPr>
          <w:rFonts w:hint="eastAsia" w:ascii="宋体" w:hAnsi="宋体" w:cs="宋体"/>
          <w:kern w:val="0"/>
          <w:sz w:val="24"/>
        </w:rPr>
        <w:t>法定代表人（盖章或签字）：          项</w:t>
      </w:r>
      <w:r>
        <w:rPr>
          <w:rFonts w:hint="eastAsia" w:ascii="宋体" w:hAnsi="宋体" w:cs="宋体"/>
          <w:kern w:val="0"/>
          <w:sz w:val="24"/>
          <w:highlight w:val="none"/>
        </w:rPr>
        <w:t xml:space="preserve">目经理（签字）： </w:t>
      </w:r>
    </w:p>
    <w:p>
      <w:pPr>
        <w:pStyle w:val="2"/>
        <w:ind w:firstLine="240" w:firstLineChars="100"/>
        <w:rPr>
          <w:rFonts w:ascii="宋体" w:hAnsi="宋体" w:cs="宋体"/>
          <w:kern w:val="0"/>
          <w:sz w:val="24"/>
          <w:highlight w:val="none"/>
        </w:rPr>
      </w:pPr>
      <w:r>
        <w:rPr>
          <w:rFonts w:hint="eastAsia" w:ascii="宋体" w:hAnsi="宋体" w:cs="宋体"/>
          <w:kern w:val="0"/>
          <w:sz w:val="24"/>
          <w:highlight w:val="none"/>
          <w:lang w:val="en-US" w:eastAsia="zh-CN"/>
        </w:rPr>
        <w:t>项目经理联系电话：</w:t>
      </w:r>
    </w:p>
    <w:p>
      <w:pPr>
        <w:widowControl/>
        <w:spacing w:line="360" w:lineRule="auto"/>
        <w:jc w:val="right"/>
        <w:rPr>
          <w:rFonts w:ascii="宋体" w:hAnsi="宋体" w:cs="宋体"/>
          <w:kern w:val="0"/>
          <w:sz w:val="24"/>
          <w:highlight w:val="none"/>
        </w:rPr>
      </w:pPr>
      <w:r>
        <w:rPr>
          <w:rFonts w:hint="eastAsia" w:ascii="宋体" w:hAnsi="宋体" w:cs="宋体"/>
          <w:kern w:val="0"/>
          <w:sz w:val="24"/>
          <w:highlight w:val="none"/>
        </w:rPr>
        <w:t>年    月    日</w:t>
      </w:r>
    </w:p>
    <w:p>
      <w:pPr>
        <w:rPr>
          <w:b/>
          <w:bCs w:val="0"/>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bCs w:val="0"/>
          <w:sz w:val="24"/>
          <w:highlight w:val="none"/>
        </w:rPr>
        <w:t>注：交易响应人必须对交易响应承诺书作出承诺，项目经理必须本人签字，否则将</w:t>
      </w:r>
      <w:r>
        <w:rPr>
          <w:rFonts w:hint="eastAsia" w:ascii="宋体" w:hAnsi="宋体"/>
          <w:b/>
          <w:bCs w:val="0"/>
          <w:sz w:val="24"/>
          <w:highlight w:val="none"/>
          <w:lang w:eastAsia="zh-CN"/>
        </w:rPr>
        <w:t>取消</w:t>
      </w:r>
      <w:r>
        <w:rPr>
          <w:rFonts w:hint="eastAsia" w:ascii="宋体" w:hAnsi="宋体"/>
          <w:b/>
          <w:bCs w:val="0"/>
          <w:sz w:val="24"/>
          <w:highlight w:val="none"/>
        </w:rPr>
        <w:t>其交易</w:t>
      </w:r>
      <w:r>
        <w:rPr>
          <w:rFonts w:hint="eastAsia" w:ascii="宋体" w:hAnsi="宋体"/>
          <w:b/>
          <w:bCs w:val="0"/>
          <w:sz w:val="24"/>
          <w:highlight w:val="none"/>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rPr>
          <w:rFonts w:hint="eastAsia" w:eastAsia="宋体"/>
          <w:lang w:val="en-US" w:eastAsia="zh-CN"/>
        </w:rPr>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w:t>
      </w:r>
      <w:r>
        <w:rPr>
          <w:rFonts w:hint="eastAsia" w:hAnsi="宋体"/>
          <w:bCs/>
          <w:lang w:val="en-US" w:eastAsia="zh-CN"/>
        </w:rPr>
        <w:t>利</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26937"/>
      <w:bookmarkStart w:id="1" w:name="_Toc365884060"/>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top"/>
          </w:tcPr>
          <w:p>
            <w:pPr>
              <w:jc w:val="both"/>
              <w:rPr>
                <w:rFonts w:hint="eastAsia" w:ascii="宋体" w:hAnsi="宋体"/>
                <w:lang w:val="en-US" w:eastAsia="zh-CN"/>
              </w:rPr>
            </w:pPr>
          </w:p>
          <w:p>
            <w:pPr>
              <w:jc w:val="both"/>
              <w:rPr>
                <w:rFonts w:ascii="宋体" w:hAnsi="宋体"/>
              </w:rPr>
            </w:pPr>
            <w:r>
              <w:rPr>
                <w:rFonts w:hint="eastAsia" w:ascii="宋体" w:hAnsi="宋体" w:eastAsia="宋体" w:cs="Courier New"/>
                <w:kern w:val="2"/>
                <w:sz w:val="21"/>
                <w:szCs w:val="21"/>
                <w:lang w:val="en-US" w:eastAsia="zh-CN" w:bidi="ar-SA"/>
              </w:rPr>
              <w:t>市畈村特色村-村庄环境整治提升工程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highlight w:val="none"/>
              </w:rPr>
            </w:pPr>
            <w:r>
              <w:rPr>
                <w:rFonts w:hint="eastAsia" w:hAnsi="宋体"/>
                <w:highlight w:val="none"/>
              </w:rPr>
              <w:t>建设地点</w:t>
            </w:r>
          </w:p>
        </w:tc>
        <w:tc>
          <w:tcPr>
            <w:tcW w:w="6366" w:type="dxa"/>
            <w:vAlign w:val="center"/>
          </w:tcPr>
          <w:p>
            <w:pPr>
              <w:pStyle w:val="20"/>
              <w:rPr>
                <w:rFonts w:hint="default" w:hAnsi="宋体" w:eastAsia="宋体"/>
                <w:highlight w:val="none"/>
                <w:lang w:val="en-US" w:eastAsia="zh-CN"/>
              </w:rPr>
            </w:pPr>
            <w:r>
              <w:rPr>
                <w:rFonts w:hint="eastAsia" w:hAnsi="宋体"/>
                <w:highlight w:val="none"/>
                <w:lang w:val="en-US" w:eastAsia="zh-CN"/>
              </w:rPr>
              <w:t>市畈村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eastAsia="宋体"/>
                <w:szCs w:val="21"/>
                <w:highlight w:val="none"/>
                <w:u w:val="single"/>
                <w:lang w:val="en-US" w:eastAsia="zh-CN"/>
              </w:rPr>
            </w:pPr>
            <w:r>
              <w:rPr>
                <w:rFonts w:hint="eastAsia" w:ascii="宋体" w:hAnsi="宋体"/>
                <w:szCs w:val="21"/>
                <w:highlight w:val="none"/>
              </w:rPr>
              <w:t>建筑面积：</w:t>
            </w:r>
            <w:r>
              <w:rPr>
                <w:rFonts w:hint="eastAsia" w:ascii="宋体" w:hAnsi="宋体"/>
                <w:szCs w:val="21"/>
                <w:highlight w:val="none"/>
                <w:lang w:val="en-US" w:eastAsia="zh-CN"/>
              </w:rPr>
              <w:t>/</w:t>
            </w:r>
          </w:p>
          <w:p>
            <w:pPr>
              <w:rPr>
                <w:rFonts w:hint="eastAsia" w:ascii="宋体" w:hAnsi="宋体" w:eastAsia="宋体"/>
                <w:szCs w:val="21"/>
                <w:highlight w:val="none"/>
                <w:u w:val="single"/>
                <w:lang w:eastAsia="zh-CN"/>
              </w:rPr>
            </w:pPr>
            <w:r>
              <w:rPr>
                <w:rFonts w:hint="eastAsia" w:ascii="宋体" w:hAnsi="宋体"/>
                <w:szCs w:val="21"/>
                <w:highlight w:val="none"/>
              </w:rPr>
              <w:t>结构类型：</w:t>
            </w:r>
            <w:r>
              <w:rPr>
                <w:rFonts w:hint="eastAsia" w:ascii="宋体" w:hAnsi="宋体"/>
                <w:szCs w:val="21"/>
                <w:highlight w:val="none"/>
                <w:u w:val="single"/>
                <w:lang w:val="en-US" w:eastAsia="zh-CN"/>
              </w:rPr>
              <w:t>/</w:t>
            </w:r>
          </w:p>
          <w:p>
            <w:pPr>
              <w:rPr>
                <w:rFonts w:hint="default" w:ascii="宋体" w:hAnsi="宋体" w:eastAsia="宋体"/>
                <w:sz w:val="24"/>
                <w:highlight w:val="none"/>
                <w:lang w:val="en-US" w:eastAsia="zh-CN"/>
              </w:rPr>
            </w:pPr>
            <w:r>
              <w:rPr>
                <w:rFonts w:hint="eastAsia" w:ascii="宋体" w:hAnsi="宋体"/>
                <w:szCs w:val="21"/>
                <w:highlight w:val="none"/>
              </w:rPr>
              <w:t>工程类别：</w:t>
            </w:r>
            <w:r>
              <w:rPr>
                <w:rFonts w:hint="eastAsia" w:ascii="宋体" w:hAnsi="宋体"/>
                <w:szCs w:val="21"/>
                <w:highlight w:val="none"/>
                <w:u w:val="single"/>
                <w:lang w:val="en-US"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highlight w:val="none"/>
              </w:rPr>
            </w:pPr>
            <w:r>
              <w:rPr>
                <w:rFonts w:hint="eastAsia" w:hAnsi="宋体"/>
                <w:highlight w:val="none"/>
                <w:u w:val="single"/>
                <w:lang w:val="en-US" w:eastAsia="zh-CN"/>
              </w:rPr>
              <w:t>90</w:t>
            </w:r>
            <w:r>
              <w:rPr>
                <w:rFonts w:hint="eastAsia" w:hAnsi="宋体"/>
                <w:highlight w:val="none"/>
                <w:u w:val="single"/>
              </w:rPr>
              <w:t>（</w:t>
            </w:r>
            <w:r>
              <w:rPr>
                <w:rFonts w:hint="eastAsia" w:hAnsi="宋体"/>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eastAsia" w:hAnsi="宋体" w:eastAsia="宋体"/>
                <w:highlight w:val="none"/>
                <w:u w:val="single"/>
                <w:lang w:val="en-US" w:eastAsia="zh-CN"/>
              </w:rPr>
            </w:pPr>
            <w:r>
              <w:rPr>
                <w:rFonts w:hint="eastAsia" w:hAnsi="宋体"/>
                <w:highlight w:val="none"/>
                <w:u w:val="single"/>
                <w:lang w:val="en-US" w:eastAsia="zh-CN"/>
              </w:rPr>
              <w:t>国有资金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widowControl w:val="0"/>
              <w:spacing w:after="0" w:line="360" w:lineRule="auto"/>
              <w:jc w:val="both"/>
              <w:rPr>
                <w:rFonts w:hint="eastAsia" w:ascii="宋体" w:eastAsia="宋体"/>
                <w:b/>
                <w:bCs w:val="0"/>
                <w:color w:val="auto"/>
                <w:highlight w:val="none"/>
                <w:u w:val="single"/>
                <w:lang w:eastAsia="zh-CN"/>
              </w:rPr>
            </w:pPr>
            <w:r>
              <w:rPr>
                <w:rFonts w:hint="eastAsia" w:ascii="宋体" w:hAnsi="宋体" w:eastAsia="宋体" w:cs="宋体"/>
                <w:b/>
                <w:color w:val="auto"/>
                <w:sz w:val="21"/>
                <w:szCs w:val="21"/>
                <w:highlight w:val="none"/>
                <w:u w:val="none"/>
              </w:rPr>
              <w:t>企业资质：</w:t>
            </w:r>
            <w:r>
              <w:rPr>
                <w:rFonts w:hint="eastAsia" w:ascii="宋体" w:eastAsia="宋体"/>
                <w:b/>
                <w:bCs w:val="0"/>
                <w:color w:val="auto"/>
                <w:highlight w:val="none"/>
                <w:u w:val="single"/>
                <w:lang w:eastAsia="zh-CN"/>
              </w:rPr>
              <w:t>注册在淳安县或注册在“飞地”税收缴纳在淳安</w:t>
            </w:r>
            <w:r>
              <w:rPr>
                <w:rFonts w:hint="eastAsia" w:ascii="宋体" w:eastAsia="宋体"/>
                <w:b/>
                <w:bCs w:val="0"/>
                <w:color w:val="auto"/>
                <w:highlight w:val="none"/>
                <w:u w:val="single"/>
                <w:lang w:val="en-US" w:eastAsia="zh-CN"/>
              </w:rPr>
              <w:t>的市政公用工程施工总承包企业资质三级及以上</w:t>
            </w:r>
            <w:r>
              <w:rPr>
                <w:rFonts w:hint="eastAsia" w:ascii="宋体" w:hAnsi="宋体" w:eastAsia="宋体"/>
                <w:color w:val="FF0000"/>
                <w:kern w:val="2"/>
                <w:sz w:val="21"/>
                <w:highlight w:val="none"/>
                <w:u w:val="single"/>
                <w:lang w:val="en-US" w:eastAsia="zh-CN" w:bidi="ar-SA"/>
              </w:rPr>
              <w:t>（对应资质应在“浙江省建筑市场监管公共服务系统”上资质动态核查结果处于“合格”状态）</w:t>
            </w:r>
          </w:p>
          <w:p>
            <w:pPr>
              <w:pStyle w:val="20"/>
              <w:spacing w:line="360" w:lineRule="auto"/>
              <w:rPr>
                <w:rFonts w:hAnsi="宋体"/>
                <w:highlight w:val="none"/>
              </w:rPr>
            </w:pPr>
            <w:r>
              <w:rPr>
                <w:rFonts w:hint="eastAsia" w:ascii="宋体" w:hAnsi="宋体" w:eastAsia="宋体" w:cs="宋体"/>
                <w:b/>
                <w:color w:val="auto"/>
                <w:kern w:val="2"/>
                <w:sz w:val="21"/>
                <w:szCs w:val="21"/>
                <w:highlight w:val="none"/>
                <w:u w:val="none"/>
                <w:lang w:val="en-US" w:eastAsia="zh-CN" w:bidi="ar-SA"/>
              </w:rPr>
              <w:t>建造师（项目经理）：</w:t>
            </w:r>
            <w:r>
              <w:rPr>
                <w:rFonts w:hint="eastAsia" w:ascii="宋体" w:hAnsi="宋体" w:eastAsia="宋体" w:cs="宋体"/>
                <w:b/>
                <w:color w:val="auto"/>
                <w:kern w:val="2"/>
                <w:sz w:val="21"/>
                <w:szCs w:val="21"/>
                <w:highlight w:val="none"/>
                <w:u w:val="single"/>
                <w:lang w:val="en-US" w:eastAsia="zh-CN" w:bidi="ar-SA"/>
              </w:rPr>
              <w:t>市政公用工程二级及以上建造师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highlight w:val="none"/>
              </w:rPr>
            </w:pPr>
            <w:r>
              <w:rPr>
                <w:rFonts w:hint="eastAsia" w:hAnsi="宋体"/>
                <w:highlight w:val="none"/>
              </w:rPr>
              <w:t>工程量清单计价</w:t>
            </w:r>
          </w:p>
          <w:p>
            <w:pPr>
              <w:pStyle w:val="20"/>
              <w:jc w:val="center"/>
              <w:rPr>
                <w:rFonts w:hAnsi="宋体"/>
                <w:highlight w:val="none"/>
              </w:rPr>
            </w:pPr>
            <w:r>
              <w:rPr>
                <w:rFonts w:hint="eastAsia" w:hAnsi="宋体"/>
                <w:highlight w:val="none"/>
              </w:rPr>
              <w:t>方式</w:t>
            </w:r>
          </w:p>
        </w:tc>
        <w:tc>
          <w:tcPr>
            <w:tcW w:w="6366" w:type="dxa"/>
            <w:vAlign w:val="center"/>
          </w:tcPr>
          <w:p>
            <w:pPr>
              <w:pStyle w:val="20"/>
              <w:rPr>
                <w:rFonts w:hint="eastAsia" w:hAnsi="宋体" w:eastAsia="宋体"/>
                <w:highlight w:val="none"/>
                <w:u w:val="single"/>
                <w:lang w:eastAsia="zh-CN"/>
              </w:rPr>
            </w:pPr>
            <w:r>
              <w:rPr>
                <w:rFonts w:hint="eastAsia" w:hAnsi="宋体"/>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highlight w:val="none"/>
              </w:rPr>
            </w:pPr>
            <w:r>
              <w:rPr>
                <w:rFonts w:hint="eastAsia" w:hAnsi="宋体"/>
                <w:highlight w:val="none"/>
              </w:rPr>
              <w:t>15．1</w:t>
            </w:r>
          </w:p>
        </w:tc>
        <w:tc>
          <w:tcPr>
            <w:tcW w:w="1792" w:type="dxa"/>
            <w:vAlign w:val="center"/>
          </w:tcPr>
          <w:p>
            <w:pPr>
              <w:pStyle w:val="2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20"/>
              <w:rPr>
                <w:rFonts w:hAnsi="宋体"/>
                <w:color w:val="auto"/>
                <w:highlight w:val="none"/>
              </w:rPr>
            </w:pPr>
            <w:r>
              <w:rPr>
                <w:rFonts w:hint="eastAsia" w:hAnsi="宋体"/>
                <w:color w:val="auto"/>
                <w:highlight w:val="none"/>
              </w:rPr>
              <w:t>为：</w:t>
            </w:r>
            <w:r>
              <w:rPr>
                <w:rFonts w:hint="eastAsia" w:hAnsi="宋体"/>
                <w:color w:val="auto"/>
                <w:highlight w:val="none"/>
                <w:u w:val="single"/>
                <w:lang w:val="en-US" w:eastAsia="zh-CN"/>
              </w:rPr>
              <w:t>3</w:t>
            </w:r>
            <w:r>
              <w:rPr>
                <w:rFonts w:hint="eastAsia" w:hAnsi="宋体"/>
                <w:color w:val="auto"/>
                <w:highlight w:val="none"/>
                <w:u w:val="single"/>
              </w:rPr>
              <w:t>0</w:t>
            </w:r>
            <w:r>
              <w:rPr>
                <w:rFonts w:hint="eastAsia" w:hAnsi="宋体"/>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Ansi="宋体"/>
              </w:rPr>
            </w:pPr>
            <w:r>
              <w:rPr>
                <w:rFonts w:hint="eastAsia" w:hAnsi="宋体"/>
                <w:lang w:val="en-US" w:eastAsia="zh-CN"/>
              </w:rPr>
              <w:t>本项目无需</w:t>
            </w:r>
            <w:r>
              <w:rPr>
                <w:rFonts w:hint="eastAsia" w:hAnsi="宋体"/>
                <w:highlight w:val="none"/>
                <w:lang w:val="en-US" w:eastAsia="zh-CN"/>
              </w:rPr>
              <w:t>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highlight w:val="none"/>
              </w:rPr>
            </w:pPr>
            <w:r>
              <w:rPr>
                <w:rFonts w:hint="eastAsia" w:hAnsi="宋体"/>
                <w:highlight w:val="none"/>
              </w:rPr>
              <w:t>交易响应预备会或答疑</w:t>
            </w:r>
          </w:p>
        </w:tc>
        <w:tc>
          <w:tcPr>
            <w:tcW w:w="6366" w:type="dxa"/>
            <w:vAlign w:val="center"/>
          </w:tcPr>
          <w:p>
            <w:pPr>
              <w:pStyle w:val="20"/>
              <w:rPr>
                <w:rFonts w:hAnsi="宋体"/>
                <w:highlight w:val="none"/>
                <w:u w:val="single"/>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highlight w:val="yellow"/>
              </w:rPr>
            </w:pPr>
            <w:r>
              <w:rPr>
                <w:rFonts w:hint="eastAsia" w:hAnsi="宋体"/>
                <w:highlight w:val="none"/>
              </w:rPr>
              <w:t>交易响应人的替代方案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highlight w:val="none"/>
              </w:rPr>
            </w:pPr>
            <w:r>
              <w:rPr>
                <w:rFonts w:hint="eastAsia" w:hAnsi="宋体"/>
                <w:highlight w:val="none"/>
              </w:rPr>
              <w:t>交易响应文件份数</w:t>
            </w:r>
          </w:p>
        </w:tc>
        <w:tc>
          <w:tcPr>
            <w:tcW w:w="6366" w:type="dxa"/>
            <w:vAlign w:val="center"/>
          </w:tcPr>
          <w:p>
            <w:pPr>
              <w:pStyle w:val="20"/>
              <w:rPr>
                <w:rFonts w:hAnsi="宋体"/>
                <w:highlight w:val="none"/>
              </w:rPr>
            </w:pPr>
            <w:r>
              <w:rPr>
                <w:rFonts w:hint="eastAsia" w:hAnsi="宋体"/>
                <w:highlight w:val="none"/>
              </w:rPr>
              <w:t>交易响应文件份数：</w:t>
            </w:r>
          </w:p>
          <w:p>
            <w:pPr>
              <w:pStyle w:val="20"/>
              <w:rPr>
                <w:rFonts w:hAnsi="宋体"/>
                <w:highlight w:val="none"/>
              </w:rPr>
            </w:pPr>
            <w:r>
              <w:rPr>
                <w:rFonts w:hint="eastAsia" w:hAnsi="宋体"/>
                <w:highlight w:val="none"/>
              </w:rPr>
              <w:t>（1）电子加密交易响应文件（.CATF）壹份（上传至交易平台会员系统）。</w:t>
            </w:r>
          </w:p>
          <w:p>
            <w:pPr>
              <w:pStyle w:val="20"/>
              <w:rPr>
                <w:rFonts w:hAnsi="宋体"/>
                <w:highlight w:val="none"/>
              </w:rPr>
            </w:pPr>
            <w:r>
              <w:rPr>
                <w:rFonts w:hint="eastAsia" w:hAnsi="宋体"/>
                <w:highlight w:val="none"/>
              </w:rPr>
              <w:t>（2）成交单位在领取成交通知书的同时还须另向交易发起人提供与电子交易响应文件内容完全一致的纸质交易响应文件副本</w:t>
            </w:r>
            <w:r>
              <w:rPr>
                <w:rFonts w:hint="eastAsia" w:hAnsi="宋体"/>
                <w:highlight w:val="none"/>
                <w:lang w:val="en-US" w:eastAsia="zh-CN"/>
              </w:rPr>
              <w:t>壹</w:t>
            </w:r>
            <w:r>
              <w:rPr>
                <w:rFonts w:hint="eastAsia" w:hAnsi="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highlight w:val="none"/>
              </w:rPr>
            </w:pPr>
            <w:r>
              <w:rPr>
                <w:rFonts w:hint="eastAsia" w:hAnsi="宋体"/>
                <w:highlight w:val="none"/>
              </w:rPr>
              <w:t>交易响应截止时间/电子交易响应</w:t>
            </w:r>
            <w:r>
              <w:rPr>
                <w:rFonts w:hint="eastAsia" w:hAnsi="宋体"/>
                <w:highlight w:val="none"/>
                <w:lang w:eastAsia="zh-CN"/>
              </w:rPr>
              <w:t>文件</w:t>
            </w:r>
            <w:r>
              <w:rPr>
                <w:rFonts w:hint="eastAsia" w:hAnsi="宋体"/>
                <w:highlight w:val="none"/>
              </w:rPr>
              <w:t>上传截止时间</w:t>
            </w:r>
          </w:p>
        </w:tc>
        <w:tc>
          <w:tcPr>
            <w:tcW w:w="6366" w:type="dxa"/>
            <w:vAlign w:val="center"/>
          </w:tcPr>
          <w:p>
            <w:pPr>
              <w:pStyle w:val="20"/>
              <w:rPr>
                <w:rFonts w:hAnsi="宋体"/>
                <w:highlight w:val="none"/>
              </w:rPr>
            </w:pPr>
            <w:r>
              <w:rPr>
                <w:rFonts w:hint="eastAsia" w:hAnsi="宋体"/>
                <w:b/>
                <w:bCs/>
                <w:highlight w:val="none"/>
              </w:rPr>
              <w:t>截止时间：202</w:t>
            </w:r>
            <w:r>
              <w:rPr>
                <w:rFonts w:hint="eastAsia" w:hAnsi="宋体"/>
                <w:b/>
                <w:bCs/>
                <w:highlight w:val="none"/>
                <w:lang w:val="en-US" w:eastAsia="zh-CN"/>
              </w:rPr>
              <w:t>4</w:t>
            </w:r>
            <w:r>
              <w:rPr>
                <w:rFonts w:hint="eastAsia" w:hAnsi="宋体"/>
                <w:b/>
                <w:bCs/>
                <w:highlight w:val="none"/>
              </w:rPr>
              <w:t>年</w:t>
            </w:r>
            <w:r>
              <w:rPr>
                <w:rFonts w:hint="eastAsia" w:hAnsi="宋体"/>
                <w:b/>
                <w:bCs/>
                <w:highlight w:val="none"/>
                <w:lang w:val="en-US" w:eastAsia="zh-CN"/>
              </w:rPr>
              <w:t>04</w:t>
            </w:r>
            <w:r>
              <w:rPr>
                <w:rFonts w:hint="eastAsia" w:hAnsi="宋体"/>
                <w:b/>
                <w:bCs/>
                <w:highlight w:val="none"/>
              </w:rPr>
              <w:t>月</w:t>
            </w:r>
            <w:r>
              <w:rPr>
                <w:rFonts w:hint="eastAsia" w:hAnsi="宋体"/>
                <w:b/>
                <w:bCs/>
                <w:highlight w:val="none"/>
                <w:lang w:val="en-US" w:eastAsia="zh-CN"/>
              </w:rPr>
              <w:t>02</w:t>
            </w:r>
            <w:r>
              <w:rPr>
                <w:rFonts w:hint="eastAsia" w:hAnsi="宋体"/>
                <w:b/>
                <w:bCs/>
                <w:highlight w:val="none"/>
              </w:rPr>
              <w:t>日</w:t>
            </w:r>
            <w:r>
              <w:rPr>
                <w:rFonts w:hint="eastAsia" w:hAnsi="宋体"/>
                <w:b/>
                <w:bCs/>
                <w:highlight w:val="none"/>
                <w:lang w:val="en-US" w:eastAsia="zh-CN"/>
              </w:rPr>
              <w:t>10</w:t>
            </w:r>
            <w:r>
              <w:rPr>
                <w:rFonts w:hint="eastAsia" w:hAnsi="宋体"/>
                <w:b/>
                <w:bCs/>
                <w:highlight w:val="none"/>
              </w:rPr>
              <w:t>时</w:t>
            </w:r>
            <w:r>
              <w:rPr>
                <w:rFonts w:hint="eastAsia" w:hAnsi="宋体"/>
                <w:b/>
                <w:bCs/>
                <w:highlight w:val="none"/>
                <w:lang w:val="en-US" w:eastAsia="zh-CN"/>
              </w:rPr>
              <w:t>00</w:t>
            </w:r>
            <w:r>
              <w:rPr>
                <w:rFonts w:hint="eastAsia" w:hAnsi="宋体"/>
                <w:b/>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highlight w:val="yellow"/>
              </w:rPr>
            </w:pPr>
            <w:r>
              <w:rPr>
                <w:rFonts w:hint="eastAsia" w:hAnsi="宋体"/>
                <w:highlight w:val="none"/>
              </w:rPr>
              <w:t>交易会议</w:t>
            </w:r>
          </w:p>
        </w:tc>
        <w:tc>
          <w:tcPr>
            <w:tcW w:w="6366" w:type="dxa"/>
            <w:vAlign w:val="center"/>
          </w:tcPr>
          <w:p>
            <w:pPr>
              <w:tabs>
                <w:tab w:val="left" w:pos="7020"/>
              </w:tabs>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地址：</w:t>
            </w:r>
            <w:r>
              <w:rPr>
                <w:rFonts w:hint="eastAsia" w:ascii="Times New Roman" w:hAnsi="宋体" w:eastAsia="宋体" w:cs="Times New Roman"/>
                <w:b/>
                <w:color w:val="auto"/>
                <w:highlight w:val="none"/>
                <w:lang w:val="en-US" w:eastAsia="zh-CN"/>
              </w:rPr>
              <w:t>淳安县文昌镇城管大楼二楼（潭头农贸市场二楼）</w:t>
            </w:r>
            <w:r>
              <w:rPr>
                <w:rFonts w:hint="eastAsia" w:ascii="宋体" w:hAnsi="宋体" w:eastAsia="宋体" w:cs="宋体"/>
                <w:b/>
                <w:bCs w:val="0"/>
                <w:sz w:val="21"/>
                <w:szCs w:val="21"/>
                <w:highlight w:val="none"/>
              </w:rPr>
              <w:t xml:space="preserve"> </w:t>
            </w:r>
          </w:p>
          <w:p>
            <w:pPr>
              <w:pStyle w:val="20"/>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时间：同电子交易响应文件上传截止时间</w:t>
            </w:r>
          </w:p>
          <w:p>
            <w:pPr>
              <w:pStyle w:val="20"/>
              <w:rPr>
                <w:rFonts w:hAnsi="宋体"/>
              </w:rPr>
            </w:pPr>
            <w:r>
              <w:rPr>
                <w:rFonts w:hint="eastAsia" w:ascii="Times New Roman" w:hAnsi="宋体" w:eastAsia="宋体" w:cs="Times New Roman"/>
                <w:b/>
                <w:color w:val="auto"/>
                <w:highlight w:val="none"/>
                <w:lang w:eastAsia="zh-CN"/>
              </w:rPr>
              <w:t>交易会议</w:t>
            </w:r>
            <w:r>
              <w:rPr>
                <w:rFonts w:hint="eastAsia" w:ascii="宋体" w:hAnsi="宋体" w:eastAsia="宋体" w:cs="宋体"/>
                <w:b/>
                <w:bCs w:val="0"/>
                <w:sz w:val="21"/>
                <w:szCs w:val="21"/>
                <w:highlight w:val="none"/>
              </w:rPr>
              <w:t xml:space="preserve">平台：杭州市公共资源交易中心淳安分中心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Ansi="宋体"/>
              </w:rPr>
            </w:pPr>
            <w:r>
              <w:rPr>
                <w:rFonts w:hint="eastAsia" w:hAnsi="宋体"/>
                <w:b/>
                <w:bCs/>
              </w:rPr>
              <w:t>按交易响应须知第</w:t>
            </w:r>
            <w:r>
              <w:rPr>
                <w:rFonts w:hint="eastAsia" w:hAnsi="宋体"/>
                <w:b/>
                <w:bCs/>
                <w:u w:val="single"/>
              </w:rPr>
              <w:t>33.4</w:t>
            </w:r>
            <w:r>
              <w:rPr>
                <w:rFonts w:hint="eastAsia" w:hAnsi="宋体"/>
                <w:b/>
                <w:bCs/>
              </w:rPr>
              <w:t>款选择</w:t>
            </w:r>
            <w:r>
              <w:rPr>
                <w:rFonts w:hint="eastAsia" w:hAnsi="宋体"/>
                <w:b/>
                <w:bCs/>
                <w:u w:val="single"/>
              </w:rPr>
              <w:t>A</w:t>
            </w:r>
            <w:r>
              <w:rPr>
                <w:rFonts w:hint="eastAsia" w:hAnsi="宋体"/>
                <w:b/>
                <w:bCs/>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highlight w:val="none"/>
              </w:rPr>
            </w:pPr>
            <w:r>
              <w:rPr>
                <w:rFonts w:hint="eastAsia" w:hAnsi="宋体"/>
                <w:highlight w:val="none"/>
              </w:rPr>
              <w:t>履约担保金额</w:t>
            </w:r>
          </w:p>
        </w:tc>
        <w:tc>
          <w:tcPr>
            <w:tcW w:w="6366" w:type="dxa"/>
            <w:vAlign w:val="center"/>
          </w:tcPr>
          <w:p>
            <w:pPr>
              <w:pStyle w:val="20"/>
              <w:tabs>
                <w:tab w:val="left" w:pos="7740"/>
              </w:tabs>
              <w:spacing w:line="360" w:lineRule="auto"/>
              <w:rPr>
                <w:rFonts w:hint="eastAsia"/>
                <w:b/>
                <w:color w:val="auto"/>
                <w:highlight w:val="none"/>
                <w:u w:val="none"/>
              </w:rPr>
            </w:pPr>
            <w:r>
              <w:rPr>
                <w:rFonts w:hint="eastAsia"/>
                <w:b/>
                <w:color w:val="auto"/>
                <w:highlight w:val="none"/>
                <w:u w:val="none"/>
              </w:rPr>
              <w:t>交易响应人提供的履约担保金额为合同总价的2%</w:t>
            </w:r>
          </w:p>
          <w:p>
            <w:pPr>
              <w:pStyle w:val="20"/>
              <w:tabs>
                <w:tab w:val="left" w:pos="7740"/>
              </w:tabs>
              <w:spacing w:line="360" w:lineRule="auto"/>
              <w:rPr>
                <w:rFonts w:hint="eastAsia"/>
                <w:b/>
                <w:color w:val="auto"/>
                <w:highlight w:val="none"/>
                <w:u w:val="single"/>
              </w:rPr>
            </w:pPr>
            <w:r>
              <w:rPr>
                <w:rFonts w:hint="eastAsia"/>
                <w:b/>
                <w:color w:val="auto"/>
                <w:highlight w:val="none"/>
                <w:u w:val="single"/>
              </w:rPr>
              <w:t>履约</w:t>
            </w:r>
            <w:r>
              <w:rPr>
                <w:rFonts w:hint="eastAsia"/>
                <w:b/>
                <w:color w:val="auto"/>
                <w:highlight w:val="none"/>
                <w:u w:val="single"/>
                <w:lang w:val="en-US" w:eastAsia="zh-CN"/>
              </w:rPr>
              <w:t>担保</w:t>
            </w:r>
            <w:r>
              <w:rPr>
                <w:rFonts w:hint="eastAsia"/>
                <w:b/>
                <w:color w:val="auto"/>
                <w:highlight w:val="none"/>
                <w:u w:val="single"/>
              </w:rPr>
              <w:t>金交至以下账户：</w:t>
            </w:r>
          </w:p>
          <w:p>
            <w:pPr>
              <w:pStyle w:val="20"/>
              <w:tabs>
                <w:tab w:val="left" w:pos="7740"/>
              </w:tabs>
              <w:spacing w:line="360" w:lineRule="auto"/>
              <w:rPr>
                <w:rFonts w:hint="eastAsia" w:hAnsi="宋体"/>
                <w:b/>
                <w:highlight w:val="none"/>
                <w:u w:val="single"/>
              </w:rPr>
            </w:pPr>
            <w:r>
              <w:rPr>
                <w:rFonts w:hint="eastAsia"/>
                <w:b/>
                <w:highlight w:val="none"/>
                <w:u w:val="single"/>
              </w:rPr>
              <w:t>名称：</w:t>
            </w:r>
            <w:bookmarkStart w:id="736" w:name="_GoBack"/>
            <w:r>
              <w:rPr>
                <w:rFonts w:hint="eastAsia" w:hAnsi="宋体"/>
                <w:b/>
                <w:spacing w:val="-6"/>
                <w:highlight w:val="none"/>
                <w:u w:val="single"/>
                <w:lang w:eastAsia="zh-CN"/>
              </w:rPr>
              <w:t>淳安县文昌镇市畈村股份经济合作社</w:t>
            </w:r>
            <w:bookmarkEnd w:id="736"/>
          </w:p>
          <w:p>
            <w:pPr>
              <w:pStyle w:val="20"/>
              <w:tabs>
                <w:tab w:val="left" w:pos="7740"/>
              </w:tabs>
              <w:spacing w:line="360" w:lineRule="auto"/>
              <w:rPr>
                <w:rFonts w:hint="eastAsia" w:hAnsi="宋体"/>
                <w:b/>
                <w:highlight w:val="none"/>
                <w:u w:val="single"/>
              </w:rPr>
            </w:pPr>
            <w:r>
              <w:rPr>
                <w:rFonts w:hint="eastAsia"/>
                <w:b/>
                <w:highlight w:val="none"/>
                <w:u w:val="single"/>
              </w:rPr>
              <w:t xml:space="preserve"> 账号：</w:t>
            </w:r>
            <w:r>
              <w:rPr>
                <w:rFonts w:hint="eastAsia" w:hAnsi="宋体"/>
                <w:b/>
                <w:spacing w:val="-6"/>
                <w:highlight w:val="none"/>
                <w:u w:val="single"/>
              </w:rPr>
              <w:t>201000037518347</w:t>
            </w:r>
          </w:p>
          <w:p>
            <w:pPr>
              <w:pStyle w:val="20"/>
              <w:rPr>
                <w:rFonts w:hint="eastAsia" w:hAnsi="宋体"/>
                <w:highlight w:val="none"/>
              </w:rPr>
            </w:pPr>
            <w:r>
              <w:rPr>
                <w:rFonts w:hint="eastAsia"/>
                <w:b/>
                <w:highlight w:val="none"/>
                <w:u w:val="single"/>
              </w:rPr>
              <w:t>开户行：</w:t>
            </w:r>
            <w:r>
              <w:rPr>
                <w:rFonts w:hint="eastAsia" w:hAnsi="宋体"/>
                <w:b/>
                <w:spacing w:val="-6"/>
                <w:highlight w:val="none"/>
                <w:u w:val="single"/>
              </w:rPr>
              <w:t>淳安农商银行文昌支行十五都分理处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Ansi="宋体"/>
                <w:highlight w:val="none"/>
              </w:rPr>
            </w:pPr>
            <w:r>
              <w:rPr>
                <w:rFonts w:hint="eastAsia" w:hAnsi="宋体"/>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rPr>
            </w:pPr>
            <w:r>
              <w:rPr>
                <w:rFonts w:hint="eastAsia" w:hAnsi="宋体"/>
              </w:rPr>
              <w:t>23</w:t>
            </w:r>
          </w:p>
        </w:tc>
        <w:tc>
          <w:tcPr>
            <w:tcW w:w="988" w:type="dxa"/>
            <w:vMerge w:val="restart"/>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交易发起人单位联系人及电话</w:t>
            </w:r>
          </w:p>
        </w:tc>
        <w:tc>
          <w:tcPr>
            <w:tcW w:w="6366" w:type="dxa"/>
            <w:vAlign w:val="center"/>
          </w:tcPr>
          <w:p>
            <w:pPr>
              <w:pStyle w:val="20"/>
              <w:rPr>
                <w:rFonts w:hint="default" w:hAnsi="宋体"/>
                <w:u w:val="singl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eastAsia="zh-CN"/>
              </w:rPr>
              <w:t>汪志云</w:t>
            </w:r>
            <w:r>
              <w:rPr>
                <w:rFonts w:hint="eastAsia" w:ascii="宋体" w:hAnsi="宋体" w:eastAsia="宋体" w:cs="宋体"/>
                <w:b/>
                <w:sz w:val="21"/>
                <w:szCs w:val="21"/>
                <w:highlight w:val="none"/>
                <w:u w:val="none"/>
              </w:rPr>
              <w:t xml:space="preserve"> 联系电话：</w:t>
            </w:r>
            <w:r>
              <w:rPr>
                <w:rFonts w:hint="eastAsia" w:ascii="Times New Roman" w:hAnsi="Times New Roman" w:cs="Times New Roman"/>
                <w:b/>
                <w:szCs w:val="21"/>
                <w:highlight w:val="none"/>
                <w:lang w:val="en-US" w:eastAsia="zh-CN"/>
              </w:rPr>
              <w:t>13805789979</w:t>
            </w:r>
            <w:r>
              <w:rPr>
                <w:rFonts w:hint="eastAsia" w:ascii="Times New Roman" w:hAnsi="Times New Roman" w:eastAsia="宋体" w:cs="Times New Roman"/>
                <w:b/>
                <w:szCs w:val="21"/>
                <w:highlight w:val="none"/>
                <w:lang w:val="en-US" w:eastAsia="zh-CN"/>
              </w:rPr>
              <w:t>（政府网：6</w:t>
            </w:r>
            <w:r>
              <w:rPr>
                <w:rFonts w:hint="eastAsia" w:ascii="Times New Roman" w:hAnsi="Times New Roman" w:cs="Times New Roman"/>
                <w:b/>
                <w:szCs w:val="21"/>
                <w:highlight w:val="none"/>
                <w:lang w:val="en-US" w:eastAsia="zh-CN"/>
              </w:rPr>
              <w:t>49979</w:t>
            </w:r>
            <w:r>
              <w:rPr>
                <w:rFonts w:hint="eastAsia" w:ascii="Times New Roman" w:hAnsi="Times New Roman" w:eastAsia="宋体" w:cs="Times New Roman"/>
                <w:b/>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int="eastAsia" w:hAnsi="宋体"/>
                <w:b w:val="0"/>
                <w:bCs/>
              </w:rPr>
            </w:pPr>
            <w:r>
              <w:rPr>
                <w:rFonts w:hint="eastAsia" w:hAnsi="宋体" w:cs="宋体"/>
                <w:b w:val="0"/>
                <w:bCs/>
                <w:sz w:val="21"/>
                <w:szCs w:val="21"/>
                <w:highlight w:val="none"/>
                <w:lang w:val="en-US" w:eastAsia="zh-CN"/>
              </w:rPr>
              <w:t>文昌镇</w:t>
            </w:r>
            <w:r>
              <w:rPr>
                <w:rFonts w:hint="eastAsia" w:hAnsi="宋体" w:eastAsia="宋体" w:cs="宋体"/>
                <w:b w:val="0"/>
                <w:bCs/>
                <w:sz w:val="21"/>
                <w:szCs w:val="21"/>
                <w:highlight w:val="none"/>
                <w:lang w:val="en-US" w:eastAsia="zh-CN"/>
              </w:rPr>
              <w:t>小额公共资源交易中心</w:t>
            </w:r>
          </w:p>
        </w:tc>
        <w:tc>
          <w:tcPr>
            <w:tcW w:w="6366" w:type="dxa"/>
            <w:vAlign w:val="center"/>
          </w:tcPr>
          <w:p>
            <w:pPr>
              <w:pStyle w:val="20"/>
              <w:rPr>
                <w:rFonts w:hint="default" w:hAnsi="宋体"/>
                <w:b w:val="0"/>
                <w:bCs/>
                <w:highlight w:val="non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val="en-US" w:eastAsia="zh-CN"/>
              </w:rPr>
              <w:t>王程昕</w:t>
            </w:r>
            <w:r>
              <w:rPr>
                <w:rFonts w:hint="eastAsia" w:ascii="宋体"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 xml:space="preserve"> </w:t>
            </w:r>
            <w:r>
              <w:rPr>
                <w:rFonts w:hint="eastAsia"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联系电话：</w:t>
            </w:r>
            <w:r>
              <w:rPr>
                <w:rFonts w:hint="eastAsia" w:hAnsi="宋体" w:cs="宋体"/>
                <w:b/>
                <w:sz w:val="21"/>
                <w:szCs w:val="21"/>
                <w:highlight w:val="none"/>
                <w:u w:val="none"/>
                <w:lang w:val="en-US" w:eastAsia="zh-CN"/>
              </w:rPr>
              <w:t>15067105316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tabs>
                <w:tab w:val="left" w:pos="7020"/>
              </w:tabs>
              <w:jc w:val="both"/>
              <w:rPr>
                <w:rFonts w:hint="eastAsia"/>
                <w:b/>
                <w:szCs w:val="21"/>
                <w:highlight w:val="none"/>
                <w:u w:val="none"/>
                <w:lang w:val="en-US" w:eastAsia="zh-CN"/>
              </w:rPr>
            </w:pPr>
            <w:r>
              <w:rPr>
                <w:rFonts w:hint="eastAsia" w:ascii="宋体" w:hAnsi="宋体" w:eastAsia="宋体" w:cs="宋体"/>
                <w:b/>
                <w:sz w:val="21"/>
                <w:szCs w:val="21"/>
                <w:highlight w:val="none"/>
                <w:u w:val="none"/>
              </w:rPr>
              <w:t>联系人：</w:t>
            </w:r>
            <w:r>
              <w:rPr>
                <w:rFonts w:hint="eastAsia"/>
                <w:b/>
                <w:szCs w:val="21"/>
                <w:highlight w:val="none"/>
                <w:u w:val="none"/>
                <w:lang w:val="en-US" w:eastAsia="zh-CN"/>
              </w:rPr>
              <w:t xml:space="preserve">何蕾 </w:t>
            </w:r>
          </w:p>
          <w:p>
            <w:pPr>
              <w:pStyle w:val="20"/>
              <w:rPr>
                <w:rFonts w:hAnsi="宋体"/>
              </w:rPr>
            </w:pPr>
            <w:r>
              <w:rPr>
                <w:rFonts w:hint="eastAsia" w:ascii="宋体" w:hAnsi="宋体" w:eastAsia="宋体" w:cs="宋体"/>
                <w:b/>
                <w:sz w:val="21"/>
                <w:szCs w:val="21"/>
                <w:highlight w:val="none"/>
                <w:u w:val="none"/>
              </w:rPr>
              <w:t>联系电话：</w:t>
            </w:r>
            <w:r>
              <w:rPr>
                <w:rFonts w:hint="eastAsia" w:ascii="Times New Roman" w:hAnsi="Times New Roman" w:eastAsia="宋体" w:cs="Times New Roman"/>
                <w:b/>
                <w:szCs w:val="21"/>
                <w:highlight w:val="none"/>
                <w:lang w:val="en-US" w:eastAsia="zh-CN"/>
              </w:rPr>
              <w:t>13738144731（</w:t>
            </w:r>
            <w:r>
              <w:rPr>
                <w:rFonts w:hint="eastAsia" w:ascii="宋体" w:hAnsi="宋体" w:eastAsia="宋体" w:cs="宋体"/>
                <w:b/>
                <w:sz w:val="21"/>
                <w:szCs w:val="21"/>
                <w:highlight w:val="none"/>
                <w:u w:val="none"/>
                <w:lang w:val="en-US" w:eastAsia="zh-CN"/>
              </w:rPr>
              <w:t>政府网：</w:t>
            </w:r>
            <w:r>
              <w:rPr>
                <w:rFonts w:hint="eastAsia" w:ascii="Times New Roman" w:hAnsi="Times New Roman" w:eastAsia="宋体" w:cs="Times New Roman"/>
                <w:b/>
                <w:szCs w:val="21"/>
                <w:highlight w:val="none"/>
                <w:lang w:val="en-US" w:eastAsia="zh-CN"/>
              </w:rPr>
              <w:t>544731）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Ansi="宋体"/>
                <w:highlight w:val="none"/>
              </w:rPr>
            </w:pPr>
            <w:r>
              <w:rPr>
                <w:rFonts w:hint="eastAsia" w:hAnsi="宋体"/>
                <w:highlight w:val="none"/>
              </w:rPr>
              <w:t>时间：交易响应人（法人代表人</w:t>
            </w:r>
            <w:r>
              <w:rPr>
                <w:rFonts w:hint="eastAsia" w:hAnsi="宋体"/>
                <w:color w:val="auto"/>
                <w:highlight w:val="none"/>
              </w:rPr>
              <w:t>或</w:t>
            </w:r>
            <w:r>
              <w:rPr>
                <w:rFonts w:hint="eastAsia" w:hAnsi="宋体"/>
                <w:color w:val="auto"/>
                <w:highlight w:val="none"/>
                <w:lang w:eastAsia="zh-CN"/>
              </w:rPr>
              <w:t>交易响应</w:t>
            </w:r>
            <w:r>
              <w:rPr>
                <w:rFonts w:hint="eastAsia" w:hAnsi="宋体"/>
                <w:color w:val="auto"/>
                <w:highlight w:val="none"/>
              </w:rPr>
              <w:t>人授权委托代理人</w:t>
            </w:r>
            <w:r>
              <w:rPr>
                <w:rFonts w:hint="eastAsia" w:hAnsi="宋体"/>
                <w:highlight w:val="none"/>
              </w:rPr>
              <w:t>）应在接到工作人员电话通知时起</w:t>
            </w:r>
            <w:r>
              <w:rPr>
                <w:rFonts w:hint="eastAsia" w:hAnsi="宋体"/>
                <w:highlight w:val="none"/>
                <w:u w:val="single"/>
              </w:rPr>
              <w:t>30</w:t>
            </w:r>
            <w:r>
              <w:rPr>
                <w:rFonts w:hint="eastAsia" w:hAnsi="宋体"/>
                <w:highlight w:val="none"/>
              </w:rPr>
              <w:t>分钟内予以书面回复或确认，否则视为不予回复或确认，</w:t>
            </w:r>
            <w:r>
              <w:rPr>
                <w:rFonts w:hint="eastAsia" w:hAnsi="宋体"/>
                <w:highlight w:val="none"/>
                <w:lang w:eastAsia="zh-CN"/>
              </w:rPr>
              <w:t>评审</w:t>
            </w:r>
            <w:r>
              <w:rPr>
                <w:rFonts w:hint="eastAsia" w:hAnsi="宋体"/>
                <w:color w:val="auto"/>
                <w:highlight w:val="none"/>
              </w:rPr>
              <w:t>委员会</w:t>
            </w:r>
            <w:r>
              <w:rPr>
                <w:rFonts w:hint="eastAsia" w:hAnsi="宋体"/>
                <w:highlight w:val="none"/>
              </w:rPr>
              <w:t>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w:t>
            </w:r>
            <w:r>
              <w:rPr>
                <w:rFonts w:hint="eastAsia" w:hAnsi="宋体"/>
                <w:lang w:eastAsia="zh-CN"/>
              </w:rPr>
              <w:t>以</w:t>
            </w:r>
            <w:r>
              <w:rPr>
                <w:rFonts w:hint="eastAsia" w:hAnsi="宋体"/>
              </w:rPr>
              <w:t>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w:t>
            </w:r>
            <w:r>
              <w:rPr>
                <w:rFonts w:hint="eastAsia" w:hAnsi="宋体"/>
                <w:color w:val="auto"/>
                <w:u w:val="single"/>
              </w:rPr>
              <w:t xml:space="preserve">未在交易会议后 </w:t>
            </w:r>
            <w:r>
              <w:rPr>
                <w:rFonts w:hint="eastAsia" w:hAnsi="宋体"/>
                <w:color w:val="auto"/>
                <w:u w:val="single"/>
                <w:lang w:val="en-US" w:eastAsia="zh-CN"/>
              </w:rPr>
              <w:t>30</w:t>
            </w:r>
            <w:r>
              <w:rPr>
                <w:rFonts w:hint="eastAsia" w:hAnsi="宋体"/>
                <w:color w:val="auto"/>
                <w:u w:val="single"/>
              </w:rPr>
              <w:t>分钟内</w:t>
            </w:r>
            <w:r>
              <w:rPr>
                <w:rFonts w:hint="eastAsia" w:hAnsi="宋体"/>
                <w:color w:val="auto"/>
              </w:rPr>
              <w:t>完成</w:t>
            </w:r>
            <w:r>
              <w:rPr>
                <w:rFonts w:hint="eastAsia" w:hAnsi="宋体"/>
              </w:rPr>
              <w:t>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330288398"/>
      <w:bookmarkStart w:id="3" w:name="_Toc23504"/>
      <w:bookmarkStart w:id="4" w:name="_Toc330378459"/>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23539"/>
      <w:bookmarkStart w:id="6" w:name="_Toc330378460"/>
      <w:bookmarkStart w:id="7" w:name="_Toc330288399"/>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330288400"/>
      <w:bookmarkStart w:id="9" w:name="_Toc330378461"/>
      <w:bookmarkStart w:id="10" w:name="_Toc8900"/>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330378462"/>
      <w:bookmarkStart w:id="12" w:name="_Toc330288401"/>
      <w:bookmarkStart w:id="13" w:name="_Toc19410"/>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330288402"/>
      <w:bookmarkStart w:id="15" w:name="_Toc330378463"/>
      <w:bookmarkStart w:id="16" w:name="_Toc7835"/>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10518"/>
      <w:bookmarkStart w:id="18" w:name="_Toc330288403"/>
      <w:bookmarkStart w:id="19" w:name="_Toc330378464"/>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30378465"/>
      <w:bookmarkStart w:id="21" w:name="_Toc330288404"/>
      <w:bookmarkStart w:id="22" w:name="_Toc31507"/>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330288405"/>
      <w:bookmarkStart w:id="24" w:name="_Toc766"/>
      <w:bookmarkStart w:id="25" w:name="_Toc330378466"/>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15107"/>
      <w:bookmarkStart w:id="27" w:name="_Toc330378467"/>
      <w:bookmarkStart w:id="28" w:name="_Toc330288406"/>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1878"/>
      <w:bookmarkStart w:id="30" w:name="_Toc330378468"/>
      <w:bookmarkStart w:id="31" w:name="_Toc330288407"/>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w:t>
      </w:r>
      <w:r>
        <w:rPr>
          <w:rFonts w:hint="eastAsia"/>
          <w:sz w:val="24"/>
          <w:lang w:eastAsia="zh-CN"/>
        </w:rPr>
        <w:t>他</w:t>
      </w:r>
      <w:r>
        <w:rPr>
          <w:rFonts w:hint="eastAsia"/>
          <w:sz w:val="24"/>
        </w:rPr>
        <w:t>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330378469"/>
      <w:bookmarkStart w:id="33" w:name="_Toc23082"/>
      <w:bookmarkStart w:id="34" w:name="_Toc330288408"/>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15220"/>
      <w:bookmarkStart w:id="36" w:name="_Toc330288409"/>
      <w:bookmarkStart w:id="37" w:name="_Toc330378470"/>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w:t>
      </w:r>
      <w:r>
        <w:rPr>
          <w:rFonts w:hint="eastAsia"/>
          <w:sz w:val="24"/>
          <w:highlight w:val="none"/>
        </w:rPr>
        <w:t>以乡镇限额以下交易中心备</w:t>
      </w:r>
      <w:r>
        <w:rPr>
          <w:rFonts w:hint="eastAsia"/>
          <w:color w:val="auto"/>
          <w:sz w:val="24"/>
          <w:highlight w:val="none"/>
        </w:rPr>
        <w:t>案</w:t>
      </w:r>
      <w:r>
        <w:rPr>
          <w:rFonts w:hint="eastAsia"/>
          <w:color w:val="auto"/>
          <w:sz w:val="24"/>
          <w:highlight w:val="none"/>
          <w:u w:val="single"/>
        </w:rPr>
        <w:t>的书面</w:t>
      </w:r>
      <w:r>
        <w:rPr>
          <w:rFonts w:hint="eastAsia"/>
          <w:color w:val="auto"/>
          <w:sz w:val="24"/>
          <w:highlight w:val="none"/>
        </w:rPr>
        <w:t>明确</w:t>
      </w:r>
      <w:r>
        <w:rPr>
          <w:rFonts w:hint="eastAsia"/>
          <w:sz w:val="24"/>
        </w:rPr>
        <w:t>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2" w:firstLineChars="225"/>
        <w:rPr>
          <w:b/>
          <w:bCs/>
          <w:sz w:val="24"/>
        </w:rPr>
      </w:pPr>
      <w:r>
        <w:rPr>
          <w:rFonts w:hint="eastAsia"/>
          <w:b/>
          <w:bCs/>
          <w:sz w:val="24"/>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rPr>
      </w:pPr>
      <w:bookmarkStart w:id="38" w:name="_Toc18105"/>
      <w:bookmarkStart w:id="39" w:name="_Toc330288410"/>
      <w:bookmarkStart w:id="40" w:name="_Toc330378471"/>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330288411"/>
      <w:bookmarkStart w:id="42" w:name="_Toc8751"/>
      <w:bookmarkStart w:id="43" w:name="_Toc330378472"/>
      <w:r>
        <w:rPr>
          <w:rFonts w:hint="eastAsia"/>
          <w:sz w:val="24"/>
        </w:rPr>
        <w:t>10、交易响应文件的语言及度量衡单位</w:t>
      </w:r>
      <w:bookmarkEnd w:id="41"/>
      <w:bookmarkEnd w:id="42"/>
      <w:bookmarkEnd w:id="43"/>
    </w:p>
    <w:p>
      <w:pPr>
        <w:pStyle w:val="20"/>
        <w:spacing w:line="360" w:lineRule="auto"/>
        <w:ind w:firstLine="540" w:firstLineChars="225"/>
        <w:rPr>
          <w:sz w:val="24"/>
          <w:highlight w:val="none"/>
        </w:rPr>
      </w:pPr>
      <w:r>
        <w:rPr>
          <w:rFonts w:hint="eastAsia"/>
          <w:sz w:val="24"/>
        </w:rPr>
        <w:t>10．1交易响应人与交易发起人之间对交易响应有关的所有往来通知、函件和交易响应文件均使用中文。交易响应人随交易响应文件提供的证明文件和资料可以为其它语言，但必</w:t>
      </w:r>
      <w:r>
        <w:rPr>
          <w:rFonts w:hint="eastAsia"/>
          <w:sz w:val="24"/>
          <w:highlight w:val="none"/>
        </w:rPr>
        <w:t>须附中文译文，解释这些文件，应以中文为准。</w:t>
      </w:r>
    </w:p>
    <w:p>
      <w:pPr>
        <w:pStyle w:val="20"/>
        <w:spacing w:line="360" w:lineRule="auto"/>
        <w:ind w:firstLine="540" w:firstLineChars="225"/>
        <w:rPr>
          <w:sz w:val="24"/>
          <w:highlight w:val="none"/>
        </w:rPr>
      </w:pPr>
      <w:r>
        <w:rPr>
          <w:rFonts w:hint="eastAsia"/>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sz w:val="24"/>
          <w:highlight w:val="none"/>
        </w:rPr>
      </w:pPr>
      <w:bookmarkStart w:id="44" w:name="_Toc14312"/>
      <w:bookmarkStart w:id="45" w:name="_Toc330378473"/>
      <w:bookmarkStart w:id="46" w:name="_Toc330288412"/>
      <w:r>
        <w:rPr>
          <w:rFonts w:hint="eastAsia"/>
          <w:sz w:val="24"/>
          <w:highlight w:val="none"/>
        </w:rPr>
        <w:t>11、交易响应文件的组成</w:t>
      </w:r>
      <w:bookmarkEnd w:id="44"/>
      <w:bookmarkEnd w:id="45"/>
      <w:bookmarkEnd w:id="46"/>
    </w:p>
    <w:p>
      <w:pPr>
        <w:pStyle w:val="20"/>
        <w:spacing w:line="360" w:lineRule="auto"/>
        <w:ind w:firstLine="540" w:firstLineChars="225"/>
        <w:rPr>
          <w:sz w:val="24"/>
          <w:highlight w:val="none"/>
        </w:rPr>
      </w:pPr>
      <w:bookmarkStart w:id="47" w:name="_Toc330378474"/>
      <w:bookmarkStart w:id="48" w:name="_Toc330288413"/>
      <w:r>
        <w:rPr>
          <w:rFonts w:hint="eastAsia"/>
          <w:sz w:val="24"/>
          <w:highlight w:val="none"/>
        </w:rPr>
        <w:t>11．1交易响应文件由交易响应文件交易响应函格式和技术部分格式两部分文件组成。</w:t>
      </w:r>
    </w:p>
    <w:p>
      <w:pPr>
        <w:pStyle w:val="20"/>
        <w:spacing w:line="360" w:lineRule="auto"/>
        <w:ind w:firstLine="540" w:firstLineChars="225"/>
        <w:rPr>
          <w:sz w:val="24"/>
          <w:highlight w:val="none"/>
        </w:rPr>
      </w:pPr>
      <w:r>
        <w:rPr>
          <w:rFonts w:hint="eastAsia"/>
          <w:sz w:val="24"/>
          <w:highlight w:val="none"/>
        </w:rPr>
        <w:t>11.2交易响应函格式</w:t>
      </w:r>
    </w:p>
    <w:p>
      <w:pPr>
        <w:pStyle w:val="20"/>
        <w:spacing w:line="360" w:lineRule="auto"/>
        <w:ind w:firstLine="638" w:firstLineChars="266"/>
        <w:rPr>
          <w:sz w:val="24"/>
          <w:highlight w:val="none"/>
        </w:rPr>
      </w:pPr>
      <w:r>
        <w:rPr>
          <w:rFonts w:hint="eastAsia"/>
          <w:sz w:val="24"/>
          <w:highlight w:val="none"/>
        </w:rPr>
        <w:t>(1)法定代表人资格证明书</w:t>
      </w:r>
    </w:p>
    <w:p>
      <w:pPr>
        <w:pStyle w:val="20"/>
        <w:spacing w:line="360" w:lineRule="auto"/>
        <w:ind w:firstLine="638" w:firstLineChars="266"/>
        <w:rPr>
          <w:sz w:val="24"/>
          <w:highlight w:val="none"/>
        </w:rPr>
      </w:pPr>
      <w:r>
        <w:rPr>
          <w:rFonts w:hint="eastAsia"/>
          <w:sz w:val="24"/>
          <w:highlight w:val="none"/>
        </w:rPr>
        <w:t>(2) 交易响应文件签署授权委托书、参加交易会议委托书</w:t>
      </w:r>
    </w:p>
    <w:p>
      <w:pPr>
        <w:pStyle w:val="20"/>
        <w:spacing w:line="360" w:lineRule="auto"/>
        <w:ind w:firstLine="638" w:firstLineChars="266"/>
        <w:rPr>
          <w:rFonts w:hAnsi="宋体"/>
          <w:sz w:val="24"/>
          <w:highlight w:val="none"/>
        </w:rPr>
      </w:pPr>
      <w:r>
        <w:rPr>
          <w:rFonts w:hint="eastAsia" w:hAnsi="宋体"/>
          <w:sz w:val="24"/>
          <w:highlight w:val="none"/>
        </w:rPr>
        <w:t>(3)授权委托人身份证复印件及交易文件规定的社会保险证明</w:t>
      </w:r>
    </w:p>
    <w:p>
      <w:pPr>
        <w:pStyle w:val="20"/>
        <w:spacing w:line="360" w:lineRule="auto"/>
        <w:ind w:firstLine="638" w:firstLineChars="266"/>
        <w:rPr>
          <w:sz w:val="24"/>
          <w:highlight w:val="none"/>
        </w:rPr>
      </w:pPr>
      <w:r>
        <w:rPr>
          <w:rFonts w:hint="eastAsia"/>
          <w:sz w:val="24"/>
          <w:highlight w:val="none"/>
        </w:rPr>
        <w:t>(4) 交易响应函</w:t>
      </w:r>
    </w:p>
    <w:p>
      <w:pPr>
        <w:pStyle w:val="20"/>
        <w:spacing w:line="360" w:lineRule="auto"/>
        <w:ind w:firstLine="638" w:firstLineChars="266"/>
        <w:rPr>
          <w:sz w:val="24"/>
          <w:highlight w:val="none"/>
        </w:rPr>
      </w:pPr>
      <w:r>
        <w:rPr>
          <w:rFonts w:hint="eastAsia"/>
          <w:sz w:val="24"/>
          <w:highlight w:val="none"/>
        </w:rPr>
        <w:t>(5)交易响应函附录（附法定代表人安全生产考核合格证书复印件）</w:t>
      </w:r>
    </w:p>
    <w:p>
      <w:pPr>
        <w:pStyle w:val="20"/>
        <w:spacing w:line="360" w:lineRule="auto"/>
        <w:ind w:firstLine="638" w:firstLineChars="266"/>
        <w:rPr>
          <w:sz w:val="24"/>
          <w:highlight w:val="none"/>
        </w:rPr>
      </w:pPr>
      <w:r>
        <w:rPr>
          <w:rFonts w:hint="eastAsia"/>
          <w:sz w:val="24"/>
          <w:highlight w:val="none"/>
        </w:rPr>
        <w:t>(6) 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20"/>
        <w:spacing w:line="360" w:lineRule="auto"/>
        <w:ind w:firstLine="638" w:firstLineChars="266"/>
        <w:rPr>
          <w:rFonts w:hAnsi="宋体"/>
          <w:sz w:val="24"/>
          <w:highlight w:val="none"/>
        </w:rPr>
      </w:pPr>
      <w:r>
        <w:rPr>
          <w:rFonts w:hint="eastAsia"/>
          <w:sz w:val="24"/>
          <w:highlight w:val="none"/>
        </w:rPr>
        <w:t>(7) 交易响应</w:t>
      </w:r>
      <w:r>
        <w:rPr>
          <w:rFonts w:hint="eastAsia" w:hAnsi="宋体"/>
          <w:sz w:val="24"/>
          <w:highlight w:val="none"/>
        </w:rPr>
        <w:t>人基本结算户开户许可证复印件或基本存款账户信息银行备案复印件</w:t>
      </w:r>
    </w:p>
    <w:p>
      <w:pPr>
        <w:pStyle w:val="20"/>
        <w:spacing w:line="360" w:lineRule="auto"/>
        <w:ind w:firstLine="638" w:firstLineChars="266"/>
        <w:rPr>
          <w:rFonts w:hAnsi="宋体"/>
          <w:sz w:val="24"/>
          <w:highlight w:val="none"/>
        </w:rPr>
      </w:pPr>
      <w:r>
        <w:rPr>
          <w:rFonts w:hint="eastAsia"/>
          <w:sz w:val="24"/>
          <w:highlight w:val="none"/>
        </w:rPr>
        <w:t>(8)</w:t>
      </w:r>
      <w:r>
        <w:rPr>
          <w:rFonts w:hint="eastAsia" w:hAnsi="宋体"/>
          <w:sz w:val="24"/>
          <w:highlight w:val="none"/>
        </w:rPr>
        <w:t>企业营业执照</w:t>
      </w:r>
    </w:p>
    <w:p>
      <w:pPr>
        <w:pStyle w:val="20"/>
        <w:spacing w:line="360" w:lineRule="auto"/>
        <w:ind w:firstLine="638" w:firstLineChars="266"/>
        <w:rPr>
          <w:rFonts w:hAnsi="宋体"/>
          <w:sz w:val="24"/>
          <w:highlight w:val="none"/>
        </w:rPr>
      </w:pPr>
      <w:r>
        <w:rPr>
          <w:rFonts w:hint="eastAsia"/>
          <w:sz w:val="24"/>
          <w:highlight w:val="none"/>
        </w:rPr>
        <w:t>(9)</w:t>
      </w:r>
      <w:r>
        <w:rPr>
          <w:rFonts w:hint="eastAsia" w:hAnsi="宋体"/>
          <w:sz w:val="24"/>
          <w:highlight w:val="none"/>
        </w:rPr>
        <w:t>企业资质证书</w:t>
      </w:r>
      <w:r>
        <w:rPr>
          <w:rFonts w:hint="eastAsia"/>
          <w:sz w:val="24"/>
          <w:highlight w:val="none"/>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widowControl w:val="0"/>
        <w:spacing w:line="360" w:lineRule="auto"/>
        <w:ind w:firstLine="638" w:firstLineChars="266"/>
        <w:jc w:val="both"/>
        <w:rPr>
          <w:rFonts w:hint="eastAsia" w:ascii="宋体" w:hAnsi="宋体" w:eastAsia="宋体" w:cs="Courier New"/>
          <w:i/>
          <w:iCs/>
          <w:color w:val="FF0000"/>
          <w:spacing w:val="-4"/>
          <w:kern w:val="2"/>
          <w:sz w:val="21"/>
          <w:szCs w:val="21"/>
          <w:highlight w:val="yellow"/>
          <w:lang w:val="en-US" w:eastAsia="zh-CN" w:bidi="ar-SA"/>
        </w:rPr>
      </w:pPr>
      <w:r>
        <w:rPr>
          <w:rFonts w:hint="eastAsia" w:ascii="宋体" w:hAnsi="Courier New" w:eastAsia="宋体" w:cs="Courier New"/>
          <w:kern w:val="2"/>
          <w:sz w:val="24"/>
          <w:szCs w:val="21"/>
          <w:lang w:val="en-US" w:eastAsia="zh-CN" w:bidi="ar-SA"/>
        </w:rPr>
        <w:t>(16)</w:t>
      </w:r>
      <w:r>
        <w:rPr>
          <w:rFonts w:hint="eastAsia" w:ascii="宋体" w:hAnsi="宋体" w:eastAsia="宋体" w:cs="Courier New"/>
          <w:kern w:val="2"/>
          <w:sz w:val="24"/>
          <w:szCs w:val="21"/>
          <w:lang w:val="en-US" w:eastAsia="zh-CN" w:bidi="ar-SA"/>
        </w:rPr>
        <w:t xml:space="preserve"> </w:t>
      </w:r>
      <w:r>
        <w:rPr>
          <w:rFonts w:hint="eastAsia" w:ascii="宋体" w:hAnsi="宋体" w:eastAsia="宋体" w:cs="Courier New"/>
          <w:color w:val="FF0000"/>
          <w:kern w:val="2"/>
          <w:sz w:val="24"/>
          <w:szCs w:val="21"/>
          <w:lang w:val="en-US" w:eastAsia="zh-CN" w:bidi="ar-SA"/>
        </w:rPr>
        <w:t>提供交易响应人（自公告发布之日至交易响应截止日之间）在“浙江省建筑市场监管公共服务系统”上，参与交易响应资质的“资质动态核查结果证明”</w:t>
      </w:r>
    </w:p>
    <w:p>
      <w:pPr>
        <w:widowControl w:val="0"/>
        <w:spacing w:line="360" w:lineRule="auto"/>
        <w:ind w:firstLine="638" w:firstLineChars="266"/>
        <w:jc w:val="both"/>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ind w:firstLine="720" w:firstLineChars="300"/>
        <w:rPr>
          <w:rFonts w:hint="eastAsia" w:eastAsia="宋体"/>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lang w:val="en-US" w:eastAsia="zh-CN"/>
        </w:rPr>
      </w:pPr>
    </w:p>
    <w:p>
      <w:pPr>
        <w:pStyle w:val="20"/>
        <w:spacing w:line="360" w:lineRule="auto"/>
        <w:ind w:firstLine="540" w:firstLineChars="225"/>
        <w:rPr>
          <w:sz w:val="24"/>
          <w:u w:val="single"/>
        </w:rPr>
      </w:pPr>
      <w:r>
        <w:rPr>
          <w:rFonts w:hint="eastAsia"/>
          <w:sz w:val="24"/>
          <w:u w:val="single"/>
        </w:rPr>
        <w:t>说明：交易响应文件中必须提供上述企业资格后审材料复印件或浙江政务服务网打印件，作为资格审查的重要依据。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288414"/>
      <w:bookmarkStart w:id="51" w:name="_Toc21064"/>
      <w:bookmarkStart w:id="52" w:name="_Toc330378475"/>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8597"/>
      <w:bookmarkStart w:id="54" w:name="_Toc330288415"/>
      <w:bookmarkStart w:id="55" w:name="_Toc506147340"/>
      <w:bookmarkStart w:id="56" w:name="_Toc330378476"/>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330378477"/>
      <w:bookmarkStart w:id="58" w:name="_Toc20416"/>
      <w:bookmarkStart w:id="59" w:name="_Toc330288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330378478"/>
      <w:bookmarkStart w:id="61" w:name="_Toc330288417"/>
      <w:bookmarkStart w:id="62" w:name="_Toc24632"/>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w:t>
      </w:r>
      <w:r>
        <w:rPr>
          <w:rFonts w:hint="eastAsia"/>
          <w:sz w:val="24"/>
          <w:lang w:eastAsia="zh-CN"/>
        </w:rPr>
        <w:t>账</w:t>
      </w:r>
      <w:r>
        <w:rPr>
          <w:rFonts w:hint="eastAsia"/>
          <w:sz w:val="24"/>
        </w:rPr>
        <w:t>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288418"/>
      <w:bookmarkStart w:id="64" w:name="_Toc330378479"/>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330288419"/>
      <w:bookmarkStart w:id="67" w:name="_Toc1067"/>
      <w:bookmarkStart w:id="68" w:name="_Toc330378480"/>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330288420"/>
      <w:bookmarkStart w:id="70" w:name="_Toc25114"/>
      <w:bookmarkStart w:id="71" w:name="_Toc330378481"/>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330288421"/>
      <w:bookmarkStart w:id="73" w:name="_Toc2586"/>
      <w:bookmarkStart w:id="74" w:name="_Toc330378482"/>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330378483"/>
      <w:bookmarkStart w:id="76" w:name="_Toc330288422"/>
      <w:bookmarkStart w:id="77" w:name="_Toc542"/>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330378484"/>
      <w:bookmarkStart w:id="79" w:name="_Toc27061"/>
      <w:bookmarkStart w:id="80" w:name="_Toc330288423"/>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330378485"/>
      <w:bookmarkStart w:id="82" w:name="_Toc330288424"/>
      <w:bookmarkStart w:id="83" w:name="_Toc9462"/>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288425"/>
      <w:bookmarkStart w:id="85" w:name="_Toc330378486"/>
      <w:bookmarkStart w:id="86" w:name="_Toc14930"/>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30288426"/>
      <w:bookmarkStart w:id="88" w:name="_Toc3409"/>
      <w:bookmarkStart w:id="89" w:name="_Toc330378487"/>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330378488"/>
      <w:bookmarkStart w:id="91" w:name="_Toc330288427"/>
      <w:bookmarkStart w:id="92" w:name="_Toc25040"/>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10195"/>
      <w:bookmarkStart w:id="95" w:name="_Toc330378489"/>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highlight w:val="none"/>
        </w:rPr>
      </w:pPr>
      <w:r>
        <w:rPr>
          <w:rFonts w:hint="eastAsia"/>
          <w:sz w:val="24"/>
          <w:highlight w:val="none"/>
        </w:rPr>
        <w:t>2</w:t>
      </w:r>
      <w:r>
        <w:rPr>
          <w:rFonts w:hint="eastAsia"/>
          <w:sz w:val="24"/>
          <w:highlight w:val="none"/>
          <w:lang w:val="en-US" w:eastAsia="zh-CN"/>
        </w:rPr>
        <w:t>5.2</w:t>
      </w:r>
      <w:r>
        <w:rPr>
          <w:rFonts w:hint="eastAsia"/>
          <w:sz w:val="24"/>
          <w:highlight w:val="none"/>
        </w:rPr>
        <w:t>交易会议由交易发起人主持。</w:t>
      </w:r>
    </w:p>
    <w:p>
      <w:pPr>
        <w:pStyle w:val="20"/>
        <w:spacing w:line="360" w:lineRule="auto"/>
        <w:ind w:firstLine="540" w:firstLineChars="225"/>
        <w:rPr>
          <w:rFonts w:hint="eastAsia"/>
          <w:sz w:val="24"/>
          <w:highlight w:val="none"/>
        </w:rPr>
      </w:pPr>
      <w:r>
        <w:rPr>
          <w:rFonts w:hint="eastAsia"/>
          <w:sz w:val="24"/>
          <w:highlight w:val="none"/>
          <w:lang w:val="en-US" w:eastAsia="zh-CN"/>
        </w:rPr>
        <w:t>25.3</w:t>
      </w:r>
      <w:r>
        <w:rPr>
          <w:rFonts w:hint="eastAsia"/>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sz w:val="24"/>
          <w:szCs w:val="21"/>
          <w:highlight w:val="none"/>
        </w:rPr>
      </w:pPr>
      <w:r>
        <w:rPr>
          <w:rFonts w:hint="eastAsia" w:ascii="宋体" w:hAnsi="Courier New" w:eastAsia="宋体" w:cs="Courier New"/>
          <w:sz w:val="24"/>
          <w:szCs w:val="21"/>
          <w:highlight w:val="none"/>
          <w:lang w:val="en-US" w:eastAsia="zh-CN"/>
        </w:rPr>
        <w:t>25.4</w:t>
      </w:r>
      <w:r>
        <w:rPr>
          <w:rFonts w:hint="eastAsia" w:ascii="宋体" w:hAnsi="Courier New" w:eastAsia="宋体" w:cs="Courier New"/>
          <w:sz w:val="24"/>
          <w:szCs w:val="21"/>
          <w:highlight w:val="none"/>
        </w:rPr>
        <w:t>按规定提交合格撤回通知的</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文件不予开封，并退给</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人；按本须知第26条规定宣布为</w:t>
      </w:r>
      <w:r>
        <w:rPr>
          <w:rFonts w:hint="eastAsia" w:ascii="宋体" w:hAnsi="Courier New" w:eastAsia="宋体" w:cs="Courier New"/>
          <w:sz w:val="24"/>
          <w:szCs w:val="21"/>
          <w:highlight w:val="none"/>
          <w:lang w:eastAsia="zh-CN"/>
        </w:rPr>
        <w:t>无效交易响应文件，</w:t>
      </w:r>
      <w:r>
        <w:rPr>
          <w:rFonts w:hint="eastAsia" w:ascii="宋体" w:hAnsi="Courier New" w:eastAsia="宋体" w:cs="Courier New"/>
          <w:sz w:val="24"/>
          <w:szCs w:val="21"/>
          <w:highlight w:val="none"/>
        </w:rPr>
        <w:t>不予详细评审。</w:t>
      </w:r>
    </w:p>
    <w:p>
      <w:pPr>
        <w:pStyle w:val="20"/>
        <w:spacing w:line="360" w:lineRule="auto"/>
        <w:ind w:firstLine="540" w:firstLineChars="225"/>
        <w:rPr>
          <w:sz w:val="24"/>
          <w:highlight w:val="none"/>
        </w:rPr>
      </w:pPr>
      <w:r>
        <w:rPr>
          <w:rFonts w:hint="eastAsia"/>
          <w:sz w:val="24"/>
          <w:highlight w:val="none"/>
        </w:rPr>
        <w:t>25．</w:t>
      </w:r>
      <w:r>
        <w:rPr>
          <w:rFonts w:hint="eastAsia"/>
          <w:sz w:val="24"/>
          <w:highlight w:val="none"/>
          <w:lang w:val="en-US" w:eastAsia="zh-CN"/>
        </w:rPr>
        <w:t>5</w:t>
      </w:r>
      <w:r>
        <w:rPr>
          <w:rFonts w:hint="eastAsia"/>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6</w:t>
      </w:r>
      <w:r>
        <w:rPr>
          <w:rFonts w:hint="eastAsia"/>
          <w:sz w:val="24"/>
          <w:highlight w:val="none"/>
          <w:lang w:eastAsia="zh-CN"/>
        </w:rPr>
        <w:t>交易</w:t>
      </w:r>
      <w:r>
        <w:rPr>
          <w:rFonts w:hint="eastAsia"/>
          <w:sz w:val="24"/>
          <w:highlight w:val="none"/>
        </w:rPr>
        <w:t>会议</w:t>
      </w:r>
    </w:p>
    <w:p>
      <w:pPr>
        <w:pStyle w:val="20"/>
        <w:spacing w:line="360" w:lineRule="auto"/>
        <w:ind w:firstLine="540" w:firstLineChars="225"/>
        <w:rPr>
          <w:rFonts w:hint="eastAsia"/>
          <w:sz w:val="24"/>
          <w:highlight w:val="none"/>
        </w:rPr>
      </w:pPr>
      <w:r>
        <w:rPr>
          <w:rFonts w:hint="eastAsia"/>
          <w:sz w:val="24"/>
          <w:highlight w:val="none"/>
        </w:rPr>
        <w:t>(1)</w:t>
      </w:r>
      <w:r>
        <w:rPr>
          <w:rFonts w:hint="eastAsia"/>
          <w:sz w:val="24"/>
          <w:highlight w:val="none"/>
          <w:lang w:eastAsia="zh-CN"/>
        </w:rPr>
        <w:t>交易</w:t>
      </w:r>
      <w:r>
        <w:rPr>
          <w:rFonts w:hint="eastAsia"/>
          <w:sz w:val="24"/>
          <w:highlight w:val="none"/>
        </w:rPr>
        <w:t>会议由</w:t>
      </w:r>
      <w:r>
        <w:rPr>
          <w:rFonts w:hint="eastAsia"/>
          <w:sz w:val="24"/>
          <w:highlight w:val="none"/>
          <w:lang w:eastAsia="zh-CN"/>
        </w:rPr>
        <w:t>交易发起人</w:t>
      </w:r>
      <w:r>
        <w:rPr>
          <w:rFonts w:hint="eastAsia"/>
          <w:sz w:val="24"/>
          <w:highlight w:val="none"/>
        </w:rPr>
        <w:t>主持；</w:t>
      </w:r>
    </w:p>
    <w:p>
      <w:pPr>
        <w:pStyle w:val="20"/>
        <w:spacing w:line="360" w:lineRule="auto"/>
        <w:ind w:firstLine="540" w:firstLineChars="225"/>
        <w:rPr>
          <w:rFonts w:hint="eastAsia"/>
          <w:sz w:val="24"/>
          <w:highlight w:val="none"/>
        </w:rPr>
      </w:pPr>
      <w:r>
        <w:rPr>
          <w:rFonts w:hint="eastAsia"/>
          <w:sz w:val="24"/>
          <w:highlight w:val="none"/>
        </w:rPr>
        <w:t>(2)由</w:t>
      </w:r>
      <w:r>
        <w:rPr>
          <w:rFonts w:hint="eastAsia"/>
          <w:sz w:val="24"/>
          <w:highlight w:val="none"/>
          <w:lang w:eastAsia="zh-CN"/>
        </w:rPr>
        <w:t>交易响应人</w:t>
      </w:r>
      <w:r>
        <w:rPr>
          <w:rFonts w:hint="eastAsia"/>
          <w:sz w:val="24"/>
          <w:highlight w:val="none"/>
        </w:rPr>
        <w:t>代表或委托的公证机构检查</w:t>
      </w:r>
      <w:r>
        <w:rPr>
          <w:rFonts w:hint="eastAsia"/>
          <w:sz w:val="24"/>
          <w:highlight w:val="none"/>
          <w:lang w:eastAsia="zh-CN"/>
        </w:rPr>
        <w:t>交易响应</w:t>
      </w:r>
      <w:r>
        <w:rPr>
          <w:rFonts w:hint="eastAsia"/>
          <w:sz w:val="24"/>
          <w:highlight w:val="none"/>
        </w:rPr>
        <w:t>文件的密封情况；</w:t>
      </w:r>
    </w:p>
    <w:p>
      <w:pPr>
        <w:pStyle w:val="20"/>
        <w:spacing w:line="360" w:lineRule="auto"/>
        <w:ind w:firstLine="540" w:firstLineChars="225"/>
        <w:rPr>
          <w:rFonts w:hint="eastAsia"/>
          <w:sz w:val="24"/>
          <w:highlight w:val="none"/>
        </w:rPr>
      </w:pPr>
      <w:r>
        <w:rPr>
          <w:rFonts w:hint="eastAsia"/>
          <w:sz w:val="24"/>
          <w:highlight w:val="none"/>
        </w:rPr>
        <w:t>(3)经确认无误后，由有关工作人员当众拆封，宣读</w:t>
      </w:r>
      <w:r>
        <w:rPr>
          <w:rFonts w:hint="eastAsia"/>
          <w:sz w:val="24"/>
          <w:highlight w:val="none"/>
          <w:lang w:eastAsia="zh-CN"/>
        </w:rPr>
        <w:t>交易响应</w:t>
      </w:r>
      <w:r>
        <w:rPr>
          <w:rFonts w:hint="eastAsia"/>
          <w:sz w:val="24"/>
          <w:highlight w:val="none"/>
        </w:rPr>
        <w:t>人名称、</w:t>
      </w:r>
      <w:r>
        <w:rPr>
          <w:rFonts w:hint="eastAsia"/>
          <w:sz w:val="24"/>
          <w:highlight w:val="none"/>
          <w:lang w:eastAsia="zh-CN"/>
        </w:rPr>
        <w:t>交易响应报价</w:t>
      </w:r>
      <w:r>
        <w:rPr>
          <w:rFonts w:hint="eastAsia"/>
          <w:sz w:val="24"/>
          <w:highlight w:val="none"/>
        </w:rPr>
        <w:t>和</w:t>
      </w:r>
      <w:r>
        <w:rPr>
          <w:rFonts w:hint="eastAsia"/>
          <w:sz w:val="24"/>
          <w:highlight w:val="none"/>
          <w:lang w:eastAsia="zh-CN"/>
        </w:rPr>
        <w:t>交易响应文件</w:t>
      </w:r>
      <w:r>
        <w:rPr>
          <w:rFonts w:hint="eastAsia"/>
          <w:sz w:val="24"/>
          <w:highlight w:val="none"/>
        </w:rPr>
        <w:t>的其他主要内容。</w:t>
      </w:r>
    </w:p>
    <w:p>
      <w:pPr>
        <w:pStyle w:val="20"/>
        <w:spacing w:line="360" w:lineRule="auto"/>
        <w:ind w:firstLine="542" w:firstLineChars="225"/>
        <w:rPr>
          <w:rFonts w:hint="eastAsia" w:ascii="宋体" w:hAnsi="宋体" w:cs="Courier New"/>
          <w:b/>
          <w:sz w:val="24"/>
          <w:szCs w:val="21"/>
          <w:highlight w:val="none"/>
        </w:rPr>
      </w:pPr>
      <w:r>
        <w:rPr>
          <w:rFonts w:hint="eastAsia" w:ascii="宋体" w:hAnsi="宋体" w:cs="Courier New"/>
          <w:b/>
          <w:sz w:val="24"/>
          <w:szCs w:val="21"/>
          <w:highlight w:val="none"/>
        </w:rPr>
        <w:t>25．</w:t>
      </w:r>
      <w:r>
        <w:rPr>
          <w:rFonts w:hint="eastAsia" w:ascii="宋体" w:hAnsi="宋体" w:cs="Courier New"/>
          <w:b/>
          <w:sz w:val="24"/>
          <w:szCs w:val="21"/>
          <w:highlight w:val="none"/>
          <w:lang w:val="en-US" w:eastAsia="zh-CN"/>
        </w:rPr>
        <w:t>7</w:t>
      </w:r>
      <w:r>
        <w:rPr>
          <w:rFonts w:hint="eastAsia" w:ascii="宋体" w:hAnsi="宋体" w:cs="Courier New"/>
          <w:b/>
          <w:sz w:val="24"/>
          <w:szCs w:val="21"/>
          <w:highlight w:val="none"/>
          <w:lang w:eastAsia="zh-CN"/>
        </w:rPr>
        <w:t>交易响应</w:t>
      </w:r>
      <w:r>
        <w:rPr>
          <w:rFonts w:hint="eastAsia" w:ascii="宋体" w:hAnsi="宋体" w:cs="Courier New"/>
          <w:b/>
          <w:sz w:val="24"/>
          <w:szCs w:val="21"/>
          <w:highlight w:val="none"/>
        </w:rPr>
        <w:t>人或其他利害关系人对</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有异议的。应当在</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现场提出，</w:t>
      </w:r>
      <w:r>
        <w:rPr>
          <w:rFonts w:hint="eastAsia" w:ascii="宋体" w:hAnsi="宋体" w:cs="Courier New"/>
          <w:b/>
          <w:sz w:val="24"/>
          <w:szCs w:val="21"/>
          <w:highlight w:val="none"/>
          <w:lang w:eastAsia="zh-CN"/>
        </w:rPr>
        <w:t>交易发起人</w:t>
      </w:r>
      <w:r>
        <w:rPr>
          <w:rFonts w:hint="eastAsia" w:ascii="宋体" w:hAnsi="宋体" w:cs="Courier New"/>
          <w:b/>
          <w:sz w:val="24"/>
          <w:szCs w:val="21"/>
          <w:highlight w:val="none"/>
        </w:rPr>
        <w:t>应当场作出答复，并制作记录。</w:t>
      </w:r>
    </w:p>
    <w:p>
      <w:pPr>
        <w:pStyle w:val="20"/>
        <w:spacing w:line="360" w:lineRule="auto"/>
        <w:ind w:firstLine="540" w:firstLineChars="225"/>
        <w:outlineLvl w:val="2"/>
        <w:rPr>
          <w:rFonts w:hint="eastAsia" w:hAnsi="宋体"/>
          <w:bCs/>
          <w:sz w:val="24"/>
          <w:highlight w:val="none"/>
        </w:rPr>
      </w:pPr>
      <w:bookmarkStart w:id="96" w:name="_Toc330288429"/>
      <w:bookmarkStart w:id="97" w:name="_Toc330378490"/>
      <w:bookmarkStart w:id="98" w:name="_Toc509407395"/>
      <w:r>
        <w:rPr>
          <w:rFonts w:hint="eastAsia" w:hAnsi="宋体"/>
          <w:bCs/>
          <w:sz w:val="24"/>
          <w:highlight w:val="none"/>
        </w:rPr>
        <w:t>26、</w:t>
      </w:r>
      <w:r>
        <w:rPr>
          <w:rFonts w:hint="eastAsia" w:hAnsi="宋体"/>
          <w:bCs/>
          <w:sz w:val="24"/>
          <w:highlight w:val="none"/>
          <w:lang w:eastAsia="zh-CN"/>
        </w:rPr>
        <w:t>交易响应</w:t>
      </w:r>
      <w:r>
        <w:rPr>
          <w:rFonts w:hint="eastAsia" w:hAnsi="宋体"/>
          <w:bCs/>
          <w:sz w:val="24"/>
          <w:highlight w:val="none"/>
        </w:rPr>
        <w:t>文件的</w:t>
      </w:r>
      <w:bookmarkEnd w:id="96"/>
      <w:bookmarkEnd w:id="97"/>
      <w:r>
        <w:rPr>
          <w:rFonts w:hint="eastAsia" w:hAnsi="宋体"/>
          <w:bCs/>
          <w:sz w:val="24"/>
          <w:highlight w:val="none"/>
          <w:lang w:eastAsia="zh-CN"/>
        </w:rPr>
        <w:t>交易会议</w:t>
      </w:r>
      <w:r>
        <w:rPr>
          <w:rFonts w:hint="eastAsia" w:hAnsi="宋体"/>
          <w:bCs/>
          <w:sz w:val="24"/>
          <w:highlight w:val="none"/>
        </w:rPr>
        <w:t>阶段审查</w:t>
      </w:r>
      <w:bookmarkEnd w:id="98"/>
    </w:p>
    <w:p>
      <w:pPr>
        <w:spacing w:line="360" w:lineRule="auto"/>
        <w:ind w:firstLine="540" w:firstLineChars="225"/>
        <w:rPr>
          <w:rFonts w:hint="eastAsia" w:ascii="宋体" w:hAnsi="宋体"/>
          <w:sz w:val="24"/>
          <w:highlight w:val="none"/>
        </w:rPr>
      </w:pPr>
      <w:r>
        <w:rPr>
          <w:rFonts w:hint="eastAsia" w:ascii="宋体" w:hAnsi="宋体"/>
          <w:sz w:val="24"/>
          <w:highlight w:val="none"/>
        </w:rPr>
        <w:t>26．1</w:t>
      </w:r>
      <w:r>
        <w:rPr>
          <w:rFonts w:hint="eastAsia" w:hAnsi="宋体"/>
          <w:bCs/>
          <w:sz w:val="24"/>
          <w:highlight w:val="none"/>
          <w:lang w:eastAsia="zh-CN"/>
        </w:rPr>
        <w:t>交易响应</w:t>
      </w:r>
      <w:r>
        <w:rPr>
          <w:rFonts w:hint="eastAsia" w:hAnsi="宋体"/>
          <w:bCs/>
          <w:sz w:val="24"/>
          <w:highlight w:val="none"/>
        </w:rPr>
        <w:t>文件</w:t>
      </w:r>
      <w:r>
        <w:rPr>
          <w:rFonts w:hint="eastAsia" w:ascii="宋体" w:hAnsi="宋体"/>
          <w:sz w:val="24"/>
          <w:highlight w:val="none"/>
        </w:rPr>
        <w:t>有下列情形之一的，</w:t>
      </w:r>
      <w:r>
        <w:rPr>
          <w:rFonts w:hint="eastAsia" w:ascii="宋体" w:hAnsi="宋体" w:eastAsia="宋体"/>
          <w:sz w:val="24"/>
          <w:highlight w:val="none"/>
          <w:lang w:eastAsia="zh-CN"/>
        </w:rPr>
        <w:t>交易发起人</w:t>
      </w:r>
      <w:r>
        <w:rPr>
          <w:rFonts w:hint="eastAsia" w:ascii="宋体" w:hAnsi="宋体" w:eastAsia="宋体"/>
          <w:sz w:val="24"/>
          <w:highlight w:val="none"/>
        </w:rPr>
        <w:t>不予受理</w:t>
      </w:r>
      <w:r>
        <w:rPr>
          <w:rFonts w:hint="eastAsia" w:ascii="宋体" w:hAnsi="宋体"/>
          <w:sz w:val="24"/>
          <w:highlight w:val="none"/>
        </w:rPr>
        <w:t>：</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逾期送达的或者未送达指定地点的；</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20"/>
        <w:spacing w:line="360" w:lineRule="auto"/>
        <w:ind w:firstLine="540" w:firstLineChars="225"/>
        <w:rPr>
          <w:rFonts w:hint="eastAsia"/>
          <w:sz w:val="24"/>
          <w:highlight w:val="none"/>
        </w:rPr>
      </w:pPr>
    </w:p>
    <w:p>
      <w:pPr>
        <w:pStyle w:val="20"/>
        <w:spacing w:line="360" w:lineRule="auto"/>
        <w:ind w:firstLine="720" w:firstLineChars="225"/>
        <w:jc w:val="center"/>
        <w:outlineLvl w:val="1"/>
        <w:rPr>
          <w:rFonts w:hint="eastAsia" w:eastAsia="宋体"/>
          <w:bCs/>
          <w:sz w:val="32"/>
          <w:lang w:eastAsia="zh-CN"/>
        </w:rPr>
      </w:pPr>
      <w:bookmarkStart w:id="99" w:name="_Toc330288430"/>
      <w:bookmarkStart w:id="100" w:name="_Toc7928"/>
      <w:bookmarkStart w:id="101" w:name="_Toc330378491"/>
      <w:r>
        <w:rPr>
          <w:rFonts w:hint="eastAsia"/>
          <w:bCs/>
          <w:sz w:val="32"/>
          <w:highlight w:val="none"/>
        </w:rPr>
        <w:t>(六)</w:t>
      </w:r>
      <w:r>
        <w:rPr>
          <w:rFonts w:hint="eastAsia"/>
          <w:bCs/>
          <w:sz w:val="32"/>
        </w:rPr>
        <w:t xml:space="preserve">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highlight w:val="none"/>
        </w:rPr>
      </w:pPr>
      <w:bookmarkStart w:id="104" w:name="_Toc32569"/>
      <w:r>
        <w:rPr>
          <w:rFonts w:hint="eastAsia" w:hAnsi="宋体"/>
          <w:bCs/>
          <w:sz w:val="24"/>
          <w:szCs w:val="24"/>
        </w:rPr>
        <w:t>29、资格后审</w:t>
      </w:r>
      <w:bookmarkEnd w:id="104"/>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29．1如果未对</w:t>
      </w:r>
      <w:r>
        <w:rPr>
          <w:rFonts w:hint="eastAsia"/>
          <w:sz w:val="24"/>
          <w:highlight w:val="none"/>
        </w:rPr>
        <w:t>交易响应</w:t>
      </w:r>
      <w:r>
        <w:rPr>
          <w:rFonts w:hint="eastAsia" w:hAnsi="宋体"/>
          <w:bCs/>
          <w:sz w:val="24"/>
          <w:szCs w:val="24"/>
          <w:highlight w:val="none"/>
        </w:rPr>
        <w:t>人进行资格预审，可在评审前对</w:t>
      </w:r>
      <w:r>
        <w:rPr>
          <w:rFonts w:hint="eastAsia"/>
          <w:sz w:val="24"/>
          <w:highlight w:val="none"/>
        </w:rPr>
        <w:t>交易响应</w:t>
      </w:r>
      <w:r>
        <w:rPr>
          <w:rFonts w:hint="eastAsia" w:hAnsi="宋体"/>
          <w:bCs/>
          <w:sz w:val="24"/>
          <w:szCs w:val="24"/>
          <w:highlight w:val="none"/>
        </w:rPr>
        <w:t>人进行资格后审，审查其是否有能力和条件有效地履行合同义务。如</w:t>
      </w:r>
      <w:r>
        <w:rPr>
          <w:rFonts w:hint="eastAsia"/>
          <w:sz w:val="24"/>
          <w:highlight w:val="none"/>
        </w:rPr>
        <w:t>交易响应</w:t>
      </w:r>
      <w:r>
        <w:rPr>
          <w:rFonts w:hint="eastAsia" w:hAnsi="宋体"/>
          <w:bCs/>
          <w:sz w:val="24"/>
          <w:szCs w:val="24"/>
          <w:highlight w:val="none"/>
        </w:rPr>
        <w:t>人未达到交易文件规定的能力和条件，其</w:t>
      </w:r>
      <w:r>
        <w:rPr>
          <w:rFonts w:hint="eastAsia"/>
          <w:sz w:val="24"/>
          <w:highlight w:val="none"/>
        </w:rPr>
        <w:t>交易响应</w:t>
      </w:r>
      <w:r>
        <w:rPr>
          <w:rFonts w:hint="eastAsia" w:hAnsi="宋体"/>
          <w:bCs/>
          <w:sz w:val="24"/>
          <w:szCs w:val="24"/>
          <w:highlight w:val="none"/>
        </w:rPr>
        <w:t>将被拒绝，不进行评审。</w:t>
      </w:r>
    </w:p>
    <w:p>
      <w:pPr>
        <w:spacing w:line="360" w:lineRule="auto"/>
        <w:ind w:firstLine="540" w:firstLineChars="225"/>
        <w:rPr>
          <w:rFonts w:ascii="宋体" w:hAnsi="宋体"/>
          <w:sz w:val="24"/>
          <w:highlight w:val="none"/>
        </w:rPr>
      </w:pPr>
      <w:r>
        <w:rPr>
          <w:rFonts w:hint="eastAsia" w:ascii="宋体" w:hAnsi="宋体"/>
          <w:sz w:val="24"/>
          <w:highlight w:val="none"/>
        </w:rPr>
        <w:t>29．2</w:t>
      </w:r>
      <w:r>
        <w:rPr>
          <w:rFonts w:hint="eastAsia"/>
          <w:sz w:val="24"/>
          <w:highlight w:val="none"/>
        </w:rPr>
        <w:t>交易响应</w:t>
      </w:r>
      <w:r>
        <w:rPr>
          <w:rFonts w:hint="eastAsia" w:ascii="宋体" w:hAnsi="宋体"/>
          <w:sz w:val="24"/>
          <w:highlight w:val="none"/>
        </w:rPr>
        <w:t>文件出现下列情</w:t>
      </w:r>
      <w:r>
        <w:rPr>
          <w:rFonts w:hint="eastAsia" w:ascii="宋体" w:hAnsi="宋体"/>
          <w:sz w:val="24"/>
          <w:highlight w:val="none"/>
          <w:lang w:eastAsia="zh-CN"/>
        </w:rPr>
        <w:t>况</w:t>
      </w:r>
      <w:r>
        <w:rPr>
          <w:rFonts w:hint="eastAsia" w:ascii="宋体" w:hAnsi="宋体"/>
          <w:sz w:val="24"/>
          <w:highlight w:val="none"/>
        </w:rPr>
        <w:t>之一的，作</w:t>
      </w:r>
      <w:r>
        <w:rPr>
          <w:rFonts w:hint="eastAsia" w:ascii="宋体" w:hAnsi="宋体"/>
          <w:sz w:val="24"/>
          <w:highlight w:val="none"/>
          <w:lang w:eastAsia="zh-CN"/>
        </w:rPr>
        <w:t>取消</w:t>
      </w:r>
      <w:r>
        <w:rPr>
          <w:rFonts w:hint="eastAsia"/>
          <w:sz w:val="24"/>
          <w:highlight w:val="none"/>
        </w:rPr>
        <w:t>交易</w:t>
      </w:r>
      <w:r>
        <w:rPr>
          <w:rFonts w:hint="eastAsia"/>
          <w:sz w:val="24"/>
          <w:highlight w:val="none"/>
          <w:lang w:eastAsia="zh-CN"/>
        </w:rPr>
        <w:t>响应资格处理</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评审小组依照交易文件的规定，对</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资格进行符合性审查。</w:t>
      </w:r>
      <w:r>
        <w:rPr>
          <w:rFonts w:hint="eastAsia"/>
          <w:sz w:val="24"/>
          <w:highlight w:val="none"/>
        </w:rPr>
        <w:t>交易响应</w:t>
      </w:r>
      <w:r>
        <w:rPr>
          <w:rFonts w:hint="eastAsia" w:ascii="宋体" w:hAnsi="宋体"/>
          <w:sz w:val="24"/>
          <w:highlight w:val="none"/>
        </w:rPr>
        <w:t>人存在以下情况之一的，资格审查不予通过予以</w:t>
      </w:r>
      <w:r>
        <w:rPr>
          <w:rFonts w:hint="eastAsia" w:ascii="宋体" w:hAnsi="宋体"/>
          <w:sz w:val="24"/>
          <w:highlight w:val="none"/>
          <w:lang w:eastAsia="zh-CN"/>
        </w:rPr>
        <w:t>取消交易响应资格</w:t>
      </w:r>
      <w:r>
        <w:rPr>
          <w:rFonts w:hint="eastAsia" w:ascii="宋体" w:hAnsi="宋体"/>
          <w:sz w:val="24"/>
          <w:highlight w:val="none"/>
        </w:rPr>
        <w:t>，不再进行下一步评审：</w:t>
      </w:r>
    </w:p>
    <w:p>
      <w:pPr>
        <w:spacing w:line="360" w:lineRule="auto"/>
        <w:ind w:firstLine="540" w:firstLineChars="225"/>
        <w:rPr>
          <w:rFonts w:ascii="黑体" w:hAnsi="黑体" w:eastAsia="黑体"/>
          <w:sz w:val="24"/>
          <w:highlight w:val="none"/>
        </w:rPr>
      </w:pPr>
      <w:r>
        <w:rPr>
          <w:rFonts w:hint="eastAsia" w:ascii="黑体" w:hAnsi="黑体" w:eastAsia="黑体"/>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w:t>
      </w:r>
      <w:r>
        <w:rPr>
          <w:rFonts w:hint="eastAsia" w:ascii="黑体" w:hAnsi="黑体" w:eastAsia="黑体"/>
          <w:sz w:val="24"/>
          <w:highlight w:val="none"/>
        </w:rPr>
        <w:t>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FF0000"/>
          <w:sz w:val="24"/>
          <w:highlight w:val="none"/>
          <w:lang w:val="en-US" w:eastAsia="zh-CN"/>
        </w:rPr>
        <w:t>12、</w:t>
      </w:r>
      <w:r>
        <w:rPr>
          <w:rFonts w:hint="eastAsia" w:ascii="黑体" w:hAnsi="黑体" w:eastAsia="黑体" w:cs="Times New Roman"/>
          <w:color w:val="FF0000"/>
          <w:sz w:val="24"/>
          <w:highlight w:val="none"/>
          <w:lang w:val="en-US" w:eastAsia="zh-CN"/>
        </w:rPr>
        <w:t>企业资质动态核查：交易响应人（自公告发布之日至交易响应截止日之间）在“</w:t>
      </w:r>
      <w:r>
        <w:rPr>
          <w:rFonts w:hint="eastAsia" w:ascii="黑体" w:hAnsi="黑体" w:eastAsia="黑体" w:cs="Times New Roman"/>
          <w:color w:val="FF0000"/>
          <w:sz w:val="24"/>
          <w:highlight w:val="none"/>
          <w:lang w:eastAsia="zh-CN"/>
        </w:rPr>
        <w:t>浙江省</w:t>
      </w:r>
      <w:r>
        <w:rPr>
          <w:rFonts w:hint="eastAsia" w:ascii="黑体" w:hAnsi="黑体" w:eastAsia="黑体" w:cs="Times New Roman"/>
          <w:color w:val="FF0000"/>
          <w:sz w:val="24"/>
          <w:highlight w:val="none"/>
          <w:lang w:val="en-US" w:eastAsia="zh-CN"/>
        </w:rPr>
        <w:t>建筑市场监管公共服务系统”上，资质动态核查结果处于“不合格”状态的（或者资质“合格”状态的等级低于投标要求的资质等级）</w:t>
      </w:r>
      <w:r>
        <w:rPr>
          <w:rFonts w:hint="eastAsia" w:ascii="黑体" w:hAnsi="黑体" w:eastAsia="黑体"/>
          <w:sz w:val="24"/>
          <w:highlight w:val="none"/>
        </w:rPr>
        <w:t>。】</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highlight w:val="none"/>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w:t>
      </w:r>
      <w:r>
        <w:rPr>
          <w:rFonts w:hint="eastAsia" w:hAnsi="宋体"/>
          <w:bCs/>
          <w:sz w:val="24"/>
          <w:szCs w:val="24"/>
          <w:highlight w:val="none"/>
        </w:rPr>
        <w:t>显著差异或保留，或者对合同中约定的交易发起人的权利和</w:t>
      </w:r>
      <w:r>
        <w:rPr>
          <w:rFonts w:hint="eastAsia"/>
          <w:sz w:val="24"/>
          <w:highlight w:val="none"/>
        </w:rPr>
        <w:t>交易响应</w:t>
      </w:r>
      <w:r>
        <w:rPr>
          <w:rFonts w:hint="eastAsia" w:hAnsi="宋体"/>
          <w:bCs/>
          <w:sz w:val="24"/>
          <w:szCs w:val="24"/>
          <w:highlight w:val="none"/>
        </w:rPr>
        <w:t>人的义务方面造成重大的限制，纠正这些显著差异或保留将会对其他实质上响应交易文件要求的</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人的竞争地位产生不公正的影响。</w:t>
      </w:r>
    </w:p>
    <w:p>
      <w:pPr>
        <w:pStyle w:val="20"/>
        <w:spacing w:line="360" w:lineRule="auto"/>
        <w:ind w:firstLine="540" w:firstLineChars="225"/>
        <w:rPr>
          <w:rFonts w:hint="eastAsia" w:hAnsi="宋体" w:eastAsia="宋体"/>
          <w:bCs/>
          <w:sz w:val="24"/>
          <w:szCs w:val="24"/>
          <w:highlight w:val="none"/>
          <w:lang w:eastAsia="zh-CN"/>
        </w:rPr>
      </w:pPr>
      <w:r>
        <w:rPr>
          <w:rFonts w:hint="eastAsia" w:hAnsi="宋体"/>
          <w:bCs/>
          <w:sz w:val="24"/>
          <w:szCs w:val="24"/>
          <w:highlight w:val="none"/>
        </w:rPr>
        <w:t xml:space="preserve"> 31．3如果</w:t>
      </w:r>
      <w:r>
        <w:rPr>
          <w:rFonts w:hint="eastAsia"/>
          <w:sz w:val="24"/>
          <w:highlight w:val="none"/>
        </w:rPr>
        <w:t>交易响应</w:t>
      </w:r>
      <w:r>
        <w:rPr>
          <w:rFonts w:hint="eastAsia" w:hAnsi="宋体"/>
          <w:bCs/>
          <w:sz w:val="24"/>
          <w:szCs w:val="24"/>
          <w:highlight w:val="none"/>
        </w:rPr>
        <w:t>文件实质上不响应交易文件各项要求，交易发起人（或交易代理机构）将予以拒绝，并且不允许</w:t>
      </w:r>
      <w:r>
        <w:rPr>
          <w:rFonts w:hint="eastAsia"/>
          <w:sz w:val="24"/>
          <w:highlight w:val="none"/>
        </w:rPr>
        <w:t>交易响应</w:t>
      </w:r>
      <w:r>
        <w:rPr>
          <w:rFonts w:hint="eastAsia" w:hAnsi="宋体"/>
          <w:bCs/>
          <w:sz w:val="24"/>
          <w:szCs w:val="24"/>
          <w:highlight w:val="none"/>
        </w:rPr>
        <w:t>人通过修改或撤消其不符合要求的差异或保留，使之成为具有</w:t>
      </w:r>
      <w:r>
        <w:rPr>
          <w:rFonts w:hint="eastAsia" w:hAnsi="宋体"/>
          <w:bCs/>
          <w:sz w:val="24"/>
          <w:szCs w:val="24"/>
          <w:highlight w:val="none"/>
          <w:lang w:eastAsia="zh-CN"/>
        </w:rPr>
        <w:t>交易响应资格。</w:t>
      </w:r>
    </w:p>
    <w:p>
      <w:pPr>
        <w:pStyle w:val="20"/>
        <w:spacing w:line="360" w:lineRule="auto"/>
        <w:ind w:firstLine="540" w:firstLineChars="225"/>
        <w:outlineLvl w:val="2"/>
        <w:rPr>
          <w:rFonts w:hAnsi="宋体"/>
          <w:bCs/>
          <w:sz w:val="24"/>
          <w:szCs w:val="24"/>
          <w:highlight w:val="none"/>
        </w:rPr>
      </w:pPr>
      <w:bookmarkStart w:id="107" w:name="_Toc18703"/>
      <w:r>
        <w:rPr>
          <w:rFonts w:hint="eastAsia" w:hAnsi="宋体"/>
          <w:bCs/>
          <w:sz w:val="24"/>
          <w:szCs w:val="24"/>
          <w:highlight w:val="none"/>
        </w:rPr>
        <w:t>32、错误的修正</w:t>
      </w:r>
      <w:bookmarkEnd w:id="107"/>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32．1评审小组将对确定为实质上响应交易文件要求的</w:t>
      </w:r>
      <w:r>
        <w:rPr>
          <w:rFonts w:hint="eastAsia"/>
          <w:sz w:val="24"/>
          <w:highlight w:val="none"/>
        </w:rPr>
        <w:t>交易响应</w:t>
      </w:r>
      <w:r>
        <w:rPr>
          <w:rFonts w:hint="eastAsia" w:hAnsi="宋体"/>
          <w:bCs/>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(1)</w:t>
      </w:r>
      <w:r>
        <w:rPr>
          <w:rFonts w:hint="eastAsia" w:hAnsi="宋体"/>
          <w:bCs/>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sz w:val="24"/>
          <w:szCs w:val="24"/>
          <w:highlight w:val="none"/>
        </w:rPr>
      </w:pPr>
      <w:r>
        <w:rPr>
          <w:rFonts w:hint="eastAsia" w:hAnsi="宋体"/>
          <w:sz w:val="24"/>
          <w:szCs w:val="24"/>
          <w:highlight w:val="none"/>
        </w:rPr>
        <w:t>(2)当单价与数量的乘积与合价不一致时，以单价为准，除非</w:t>
      </w:r>
      <w:r>
        <w:rPr>
          <w:rFonts w:hint="eastAsia" w:hAnsi="宋体"/>
          <w:bCs/>
          <w:sz w:val="24"/>
          <w:szCs w:val="24"/>
          <w:highlight w:val="none"/>
        </w:rPr>
        <w:t>评审小组</w:t>
      </w:r>
      <w:r>
        <w:rPr>
          <w:rFonts w:hint="eastAsia" w:hAnsi="宋体"/>
          <w:sz w:val="24"/>
          <w:szCs w:val="24"/>
          <w:highlight w:val="none"/>
        </w:rPr>
        <w:t>认为单价有明显的小数点错误，此时应以标出的合价为准，并修改单价。</w:t>
      </w:r>
    </w:p>
    <w:p>
      <w:pPr>
        <w:pStyle w:val="20"/>
        <w:spacing w:line="360" w:lineRule="auto"/>
        <w:ind w:firstLine="540" w:firstLineChars="225"/>
        <w:rPr>
          <w:rFonts w:hAnsi="宋体"/>
          <w:sz w:val="24"/>
          <w:szCs w:val="24"/>
          <w:highlight w:val="none"/>
        </w:rPr>
      </w:pPr>
      <w:r>
        <w:rPr>
          <w:rFonts w:hint="eastAsia" w:hAnsi="宋体"/>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当</w:t>
      </w:r>
      <w:r>
        <w:rPr>
          <w:rFonts w:hint="eastAsia" w:hAnsi="宋体"/>
          <w:bCs/>
          <w:sz w:val="24"/>
          <w:szCs w:val="24"/>
          <w:highlight w:val="none"/>
        </w:rPr>
        <w:t>评审小组</w:t>
      </w:r>
      <w:r>
        <w:rPr>
          <w:rFonts w:hint="eastAsia" w:hAnsi="宋体"/>
          <w:sz w:val="24"/>
          <w:szCs w:val="24"/>
          <w:highlight w:val="none"/>
        </w:rPr>
        <w:t>按照上述原则修正错误,发现其错误达到或超过原总报价0.5%时,将认定其</w:t>
      </w:r>
      <w:r>
        <w:rPr>
          <w:rFonts w:hint="eastAsia"/>
          <w:sz w:val="24"/>
          <w:highlight w:val="none"/>
        </w:rPr>
        <w:t>交易响应</w:t>
      </w:r>
      <w:r>
        <w:rPr>
          <w:rFonts w:hint="eastAsia" w:hAnsi="宋体"/>
          <w:sz w:val="24"/>
          <w:szCs w:val="24"/>
          <w:highlight w:val="none"/>
        </w:rPr>
        <w:t>文件质量较差,其错误不予修正,作</w:t>
      </w:r>
      <w:r>
        <w:rPr>
          <w:rFonts w:hint="eastAsia"/>
          <w:sz w:val="24"/>
          <w:highlight w:val="none"/>
          <w:lang w:eastAsia="zh-CN"/>
        </w:rPr>
        <w:t>取消交易响应资格</w:t>
      </w:r>
      <w:r>
        <w:rPr>
          <w:rFonts w:hint="eastAsia" w:hAnsi="宋体"/>
          <w:sz w:val="24"/>
          <w:szCs w:val="24"/>
          <w:highlight w:val="none"/>
        </w:rPr>
        <w:t>处理。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32．2按上述修正错误的原则及方法调整或修正</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报价，</w:t>
      </w:r>
      <w:r>
        <w:rPr>
          <w:rFonts w:hint="eastAsia"/>
          <w:sz w:val="24"/>
          <w:highlight w:val="none"/>
        </w:rPr>
        <w:t>交易响应</w:t>
      </w:r>
      <w:r>
        <w:rPr>
          <w:rFonts w:hint="eastAsia" w:hAnsi="宋体"/>
          <w:bCs/>
          <w:sz w:val="24"/>
          <w:szCs w:val="24"/>
          <w:highlight w:val="none"/>
        </w:rPr>
        <w:t>人同意后，调整后的</w:t>
      </w:r>
      <w:r>
        <w:rPr>
          <w:rFonts w:hint="eastAsia"/>
          <w:sz w:val="24"/>
          <w:highlight w:val="none"/>
        </w:rPr>
        <w:t>交易响应</w:t>
      </w:r>
      <w:r>
        <w:rPr>
          <w:rFonts w:hint="eastAsia" w:hAnsi="宋体"/>
          <w:bCs/>
          <w:sz w:val="24"/>
          <w:szCs w:val="24"/>
          <w:highlight w:val="none"/>
        </w:rPr>
        <w:t>报价对</w:t>
      </w:r>
      <w:r>
        <w:rPr>
          <w:rFonts w:hint="eastAsia"/>
          <w:sz w:val="24"/>
          <w:highlight w:val="none"/>
        </w:rPr>
        <w:t>交易响应</w:t>
      </w:r>
      <w:r>
        <w:rPr>
          <w:rFonts w:hint="eastAsia" w:hAnsi="宋体"/>
          <w:bCs/>
          <w:sz w:val="24"/>
          <w:szCs w:val="24"/>
          <w:highlight w:val="none"/>
        </w:rPr>
        <w:t>人起约束作用。如果</w:t>
      </w:r>
      <w:r>
        <w:rPr>
          <w:rFonts w:hint="eastAsia"/>
          <w:sz w:val="24"/>
          <w:highlight w:val="none"/>
        </w:rPr>
        <w:t>交易响应</w:t>
      </w:r>
      <w:r>
        <w:rPr>
          <w:rFonts w:hint="eastAsia" w:hAnsi="宋体"/>
          <w:bCs/>
          <w:sz w:val="24"/>
          <w:szCs w:val="24"/>
          <w:highlight w:val="none"/>
        </w:rPr>
        <w:t>人不接受修正后的报价，则其</w:t>
      </w:r>
      <w:r>
        <w:rPr>
          <w:rFonts w:hint="eastAsia"/>
          <w:sz w:val="24"/>
          <w:highlight w:val="none"/>
        </w:rPr>
        <w:t>交易响应</w:t>
      </w:r>
      <w:r>
        <w:rPr>
          <w:rFonts w:hint="eastAsia" w:hAnsi="宋体"/>
          <w:bCs/>
          <w:sz w:val="24"/>
          <w:szCs w:val="24"/>
          <w:highlight w:val="none"/>
        </w:rPr>
        <w:t>将被拒绝并且其</w:t>
      </w:r>
      <w:r>
        <w:rPr>
          <w:rFonts w:hint="eastAsia"/>
          <w:sz w:val="24"/>
          <w:highlight w:val="none"/>
        </w:rPr>
        <w:t>交易响应</w:t>
      </w:r>
      <w:r>
        <w:rPr>
          <w:rFonts w:hint="eastAsia" w:hAnsi="宋体"/>
          <w:bCs/>
          <w:sz w:val="24"/>
          <w:szCs w:val="24"/>
          <w:highlight w:val="none"/>
        </w:rPr>
        <w:t>保证金或</w:t>
      </w:r>
      <w:r>
        <w:rPr>
          <w:rFonts w:hint="eastAsia"/>
          <w:sz w:val="24"/>
          <w:highlight w:val="none"/>
        </w:rPr>
        <w:t>交易响应</w:t>
      </w:r>
      <w:r>
        <w:rPr>
          <w:rFonts w:hint="eastAsia" w:hAnsi="宋体"/>
          <w:bCs/>
          <w:sz w:val="24"/>
          <w:szCs w:val="24"/>
          <w:highlight w:val="none"/>
        </w:rPr>
        <w:t>保函也将被不予退还，并不影响评审工作。</w:t>
      </w:r>
    </w:p>
    <w:p>
      <w:pPr>
        <w:pStyle w:val="20"/>
        <w:spacing w:line="360" w:lineRule="auto"/>
        <w:ind w:firstLine="540" w:firstLineChars="225"/>
        <w:outlineLvl w:val="2"/>
        <w:rPr>
          <w:rFonts w:hAnsi="宋体"/>
          <w:bCs/>
          <w:sz w:val="24"/>
          <w:szCs w:val="24"/>
          <w:highlight w:val="none"/>
        </w:rPr>
      </w:pPr>
      <w:bookmarkStart w:id="108" w:name="_Toc29499"/>
      <w:r>
        <w:rPr>
          <w:rFonts w:hint="eastAsia" w:hAnsi="宋体"/>
          <w:bCs/>
          <w:sz w:val="24"/>
          <w:szCs w:val="24"/>
          <w:highlight w:val="none"/>
        </w:rPr>
        <w:t>33、</w:t>
      </w:r>
      <w:r>
        <w:rPr>
          <w:rFonts w:hint="eastAsia"/>
          <w:sz w:val="24"/>
          <w:highlight w:val="none"/>
        </w:rPr>
        <w:t>交易响应</w:t>
      </w:r>
      <w:r>
        <w:rPr>
          <w:rFonts w:hint="eastAsia" w:hAnsi="宋体"/>
          <w:bCs/>
          <w:sz w:val="24"/>
          <w:szCs w:val="24"/>
          <w:highlight w:val="none"/>
        </w:rPr>
        <w:t>文件的评估和比较</w:t>
      </w:r>
      <w:bookmarkEnd w:id="108"/>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33．1评审小组将按照本须知第31条规定仅对确实为实质上响应交易文件要求并且商务标得分排名靠前的</w:t>
      </w:r>
      <w:r>
        <w:rPr>
          <w:rFonts w:hint="eastAsia"/>
          <w:sz w:val="24"/>
          <w:highlight w:val="none"/>
        </w:rPr>
        <w:t>交易响应</w:t>
      </w:r>
      <w:r>
        <w:rPr>
          <w:rFonts w:hint="eastAsia" w:hAnsi="宋体"/>
          <w:bCs/>
          <w:sz w:val="24"/>
          <w:szCs w:val="24"/>
          <w:highlight w:val="none"/>
        </w:rPr>
        <w:t>文件进行评估和比较。评审小组对商务标得分排名前5名（有效</w:t>
      </w:r>
      <w:r>
        <w:rPr>
          <w:rFonts w:hint="eastAsia"/>
          <w:sz w:val="24"/>
          <w:highlight w:val="none"/>
        </w:rPr>
        <w:t>交易响应</w:t>
      </w:r>
      <w:r>
        <w:rPr>
          <w:rFonts w:hint="eastAsia" w:hAnsi="宋体"/>
          <w:bCs/>
          <w:sz w:val="24"/>
          <w:szCs w:val="24"/>
          <w:highlight w:val="none"/>
        </w:rPr>
        <w:t>人在5家及以上时）的</w:t>
      </w:r>
      <w:r>
        <w:rPr>
          <w:rFonts w:hint="eastAsia"/>
          <w:sz w:val="24"/>
          <w:highlight w:val="none"/>
        </w:rPr>
        <w:t>交易响应</w:t>
      </w:r>
      <w:r>
        <w:rPr>
          <w:rFonts w:hint="eastAsia" w:hAnsi="宋体"/>
          <w:bCs/>
          <w:sz w:val="24"/>
          <w:szCs w:val="24"/>
          <w:highlight w:val="none"/>
        </w:rPr>
        <w:t>人的技术标进行评审，若评审过程中有不通过的，按商务标得分排序先后依次递补，直至产生5名通过评审有效</w:t>
      </w:r>
      <w:r>
        <w:rPr>
          <w:rFonts w:hint="eastAsia"/>
          <w:sz w:val="24"/>
          <w:highlight w:val="none"/>
        </w:rPr>
        <w:t>交易响应</w:t>
      </w:r>
      <w:r>
        <w:rPr>
          <w:rFonts w:hint="eastAsia" w:hAnsi="宋体"/>
          <w:bCs/>
          <w:sz w:val="24"/>
          <w:szCs w:val="24"/>
          <w:highlight w:val="none"/>
        </w:rPr>
        <w:t>人。</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33．2在评审过程中，评审小组可能要求</w:t>
      </w:r>
      <w:r>
        <w:rPr>
          <w:rFonts w:hint="eastAsia"/>
          <w:sz w:val="24"/>
          <w:highlight w:val="none"/>
        </w:rPr>
        <w:t>交易响应</w:t>
      </w:r>
      <w:r>
        <w:rPr>
          <w:rFonts w:hint="eastAsia" w:hAnsi="宋体"/>
          <w:bCs/>
          <w:sz w:val="24"/>
          <w:szCs w:val="24"/>
          <w:highlight w:val="none"/>
        </w:rPr>
        <w:t>人就</w:t>
      </w:r>
      <w:r>
        <w:rPr>
          <w:rFonts w:hint="eastAsia"/>
          <w:sz w:val="24"/>
          <w:highlight w:val="none"/>
        </w:rPr>
        <w:t>交易响应</w:t>
      </w:r>
      <w:r>
        <w:rPr>
          <w:rFonts w:hint="eastAsia" w:hAnsi="宋体"/>
          <w:bCs/>
          <w:sz w:val="24"/>
          <w:szCs w:val="24"/>
          <w:highlight w:val="none"/>
        </w:rPr>
        <w:t>文件中的内容进行答辩，交易发起人（或相关工作人员）将通知</w:t>
      </w:r>
      <w:r>
        <w:rPr>
          <w:rFonts w:hint="eastAsia"/>
          <w:sz w:val="24"/>
          <w:highlight w:val="none"/>
        </w:rPr>
        <w:t>交易响应</w:t>
      </w:r>
      <w:r>
        <w:rPr>
          <w:rFonts w:hint="eastAsia" w:hAnsi="宋体"/>
          <w:bCs/>
          <w:sz w:val="24"/>
          <w:szCs w:val="24"/>
          <w:highlight w:val="none"/>
        </w:rPr>
        <w:t>人，</w:t>
      </w:r>
      <w:r>
        <w:rPr>
          <w:rFonts w:hint="eastAsia"/>
          <w:sz w:val="24"/>
          <w:highlight w:val="none"/>
        </w:rPr>
        <w:t>交易响应</w:t>
      </w:r>
      <w:r>
        <w:rPr>
          <w:rFonts w:hint="eastAsia" w:hAnsi="宋体"/>
          <w:bCs/>
          <w:sz w:val="24"/>
          <w:szCs w:val="24"/>
          <w:highlight w:val="none"/>
        </w:rPr>
        <w:t>人应在规定时间内到场并按要求进行答辩。</w:t>
      </w:r>
    </w:p>
    <w:p>
      <w:pPr>
        <w:pStyle w:val="20"/>
        <w:spacing w:line="360" w:lineRule="auto"/>
        <w:ind w:firstLine="540" w:firstLineChars="225"/>
        <w:rPr>
          <w:rFonts w:hAnsi="宋体"/>
          <w:sz w:val="24"/>
          <w:szCs w:val="24"/>
          <w:highlight w:val="none"/>
        </w:rPr>
      </w:pPr>
      <w:r>
        <w:rPr>
          <w:rFonts w:hint="eastAsia" w:hAnsi="宋体"/>
          <w:bCs/>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33．4评审方法和标准</w:t>
      </w:r>
    </w:p>
    <w:p>
      <w:pPr>
        <w:pStyle w:val="20"/>
        <w:spacing w:line="360" w:lineRule="auto"/>
        <w:ind w:firstLine="540" w:firstLineChars="225"/>
        <w:rPr>
          <w:rFonts w:hAnsi="宋体"/>
          <w:sz w:val="24"/>
          <w:szCs w:val="24"/>
          <w:highlight w:val="none"/>
        </w:rPr>
      </w:pPr>
      <w:r>
        <w:rPr>
          <w:rFonts w:hint="eastAsia" w:hAnsi="宋体"/>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A．简易评标法；</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B．合理低价法。</w:t>
      </w:r>
    </w:p>
    <w:p>
      <w:pPr>
        <w:pStyle w:val="20"/>
        <w:tabs>
          <w:tab w:val="left" w:pos="360"/>
        </w:tabs>
        <w:spacing w:line="360" w:lineRule="auto"/>
        <w:ind w:firstLine="540" w:firstLineChars="225"/>
        <w:rPr>
          <w:rFonts w:hAnsi="宋体"/>
          <w:sz w:val="24"/>
          <w:szCs w:val="24"/>
          <w:highlight w:val="none"/>
        </w:rPr>
      </w:pPr>
      <w:r>
        <w:rPr>
          <w:rFonts w:hint="eastAsia" w:hAnsi="宋体"/>
          <w:sz w:val="24"/>
          <w:szCs w:val="24"/>
          <w:highlight w:val="none"/>
        </w:rPr>
        <w:t>33．5成交人的确定</w:t>
      </w:r>
    </w:p>
    <w:p>
      <w:pPr>
        <w:pStyle w:val="20"/>
        <w:spacing w:line="360" w:lineRule="auto"/>
        <w:ind w:left="2" w:leftChars="1" w:firstLine="540" w:firstLineChars="225"/>
        <w:rPr>
          <w:rFonts w:hAnsi="宋体"/>
          <w:sz w:val="24"/>
          <w:szCs w:val="24"/>
          <w:highlight w:val="none"/>
        </w:rPr>
      </w:pPr>
      <w:r>
        <w:rPr>
          <w:rFonts w:hint="eastAsia" w:hAnsi="宋体"/>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highlight w:val="none"/>
        </w:rPr>
      </w:pPr>
      <w:bookmarkStart w:id="109" w:name="_Toc330378498"/>
      <w:bookmarkStart w:id="110" w:name="_Toc330288437"/>
      <w:r>
        <w:rPr>
          <w:rFonts w:hint="eastAsia"/>
          <w:sz w:val="24"/>
          <w:highlight w:val="none"/>
        </w:rPr>
        <w:t>33.6交易响应人或其他利害关系人对依法必须进行</w:t>
      </w:r>
      <w:r>
        <w:rPr>
          <w:rFonts w:hint="eastAsia"/>
          <w:sz w:val="24"/>
          <w:highlight w:val="none"/>
          <w:lang w:eastAsia="zh-CN"/>
        </w:rPr>
        <w:t>交</w:t>
      </w:r>
      <w:r>
        <w:rPr>
          <w:rFonts w:hint="eastAsia"/>
          <w:sz w:val="24"/>
          <w:highlight w:val="none"/>
        </w:rPr>
        <w:t>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highlight w:val="none"/>
        </w:rPr>
      </w:pPr>
      <w:bookmarkStart w:id="111" w:name="_Toc15802"/>
      <w:r>
        <w:rPr>
          <w:rFonts w:hint="eastAsia"/>
          <w:bCs/>
          <w:sz w:val="32"/>
          <w:highlight w:val="none"/>
        </w:rPr>
        <w:t>(七)合同的授予</w:t>
      </w:r>
      <w:bookmarkEnd w:id="109"/>
      <w:bookmarkEnd w:id="110"/>
      <w:bookmarkEnd w:id="111"/>
    </w:p>
    <w:p>
      <w:pPr>
        <w:pStyle w:val="20"/>
        <w:spacing w:line="360" w:lineRule="auto"/>
        <w:ind w:firstLine="540" w:firstLineChars="225"/>
        <w:outlineLvl w:val="2"/>
        <w:rPr>
          <w:rFonts w:hAnsi="宋体"/>
          <w:bCs/>
          <w:sz w:val="24"/>
          <w:szCs w:val="24"/>
          <w:highlight w:val="none"/>
        </w:rPr>
      </w:pPr>
      <w:bookmarkStart w:id="112" w:name="_Toc24293"/>
      <w:bookmarkStart w:id="113" w:name="_Toc330288438"/>
      <w:bookmarkStart w:id="114" w:name="_Toc330378499"/>
      <w:r>
        <w:rPr>
          <w:rFonts w:hint="eastAsia" w:hAnsi="宋体"/>
          <w:bCs/>
          <w:sz w:val="24"/>
          <w:szCs w:val="24"/>
          <w:highlight w:val="none"/>
        </w:rPr>
        <w:t>34、合同授予标准</w:t>
      </w:r>
      <w:bookmarkEnd w:id="112"/>
      <w:bookmarkEnd w:id="113"/>
      <w:bookmarkEnd w:id="114"/>
    </w:p>
    <w:p>
      <w:pPr>
        <w:pStyle w:val="20"/>
        <w:spacing w:line="360" w:lineRule="auto"/>
        <w:ind w:firstLine="540" w:firstLineChars="225"/>
        <w:rPr>
          <w:rFonts w:hAnsi="宋体"/>
          <w:sz w:val="24"/>
          <w:szCs w:val="24"/>
          <w:highlight w:val="none"/>
        </w:rPr>
      </w:pPr>
      <w:r>
        <w:rPr>
          <w:rFonts w:hint="eastAsia" w:hAnsi="宋体"/>
          <w:sz w:val="24"/>
          <w:szCs w:val="24"/>
          <w:highlight w:val="none"/>
        </w:rPr>
        <w:t>34．1本工程的施工合同将授予按本须知第33.3款所确定的成交人。</w:t>
      </w:r>
    </w:p>
    <w:p>
      <w:pPr>
        <w:pStyle w:val="20"/>
        <w:spacing w:line="360" w:lineRule="auto"/>
        <w:ind w:firstLine="540" w:firstLineChars="225"/>
        <w:outlineLvl w:val="2"/>
        <w:rPr>
          <w:rFonts w:hint="eastAsia" w:hAnsi="宋体" w:eastAsia="宋体"/>
          <w:bCs/>
          <w:sz w:val="24"/>
          <w:szCs w:val="24"/>
          <w:lang w:eastAsia="zh-CN"/>
        </w:rPr>
      </w:pPr>
      <w:bookmarkStart w:id="115" w:name="_Toc330378500"/>
      <w:bookmarkStart w:id="116" w:name="_Toc330288439"/>
      <w:bookmarkStart w:id="117" w:name="_Toc9825"/>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w:t>
      </w:r>
      <w:bookmarkEnd w:id="115"/>
      <w:bookmarkEnd w:id="116"/>
      <w:bookmarkEnd w:id="117"/>
      <w:r>
        <w:rPr>
          <w:rFonts w:hint="eastAsia" w:hAnsi="宋体"/>
          <w:bCs/>
          <w:sz w:val="24"/>
          <w:szCs w:val="24"/>
          <w:lang w:eastAsia="zh-CN"/>
        </w:rPr>
        <w:t>利</w:t>
      </w:r>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330288440"/>
      <w:bookmarkStart w:id="119" w:name="_Toc330378501"/>
      <w:bookmarkStart w:id="120" w:name="_Toc2086"/>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20122"/>
      <w:bookmarkStart w:id="122" w:name="_Toc330378502"/>
      <w:bookmarkStart w:id="123" w:name="_Toc330288441"/>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330378503"/>
      <w:bookmarkStart w:id="125" w:name="_Toc15019"/>
      <w:bookmarkStart w:id="126" w:name="_Toc330288442"/>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506147370"/>
      <w:bookmarkStart w:id="129" w:name="_Toc445820768"/>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5884105"/>
      <w:bookmarkStart w:id="132" w:name="_Toc368238592"/>
      <w:r>
        <w:rPr>
          <w:rFonts w:hint="eastAsia" w:ascii="宋体" w:hAnsi="宋体"/>
          <w:color w:val="000000" w:themeColor="text1"/>
          <w:sz w:val="24"/>
        </w:rPr>
        <w:t>简易</w:t>
      </w:r>
      <w:r>
        <w:rPr>
          <w:rFonts w:hint="eastAsia" w:ascii="宋体" w:hAnsi="宋体"/>
          <w:color w:val="000000" w:themeColor="text1"/>
          <w:sz w:val="24"/>
          <w:highlight w:val="none"/>
        </w:rPr>
        <w:t>评标</w:t>
      </w:r>
      <w:r>
        <w:rPr>
          <w:rFonts w:hint="eastAsia" w:ascii="宋体" w:hAnsi="宋体"/>
          <w:color w:val="000000" w:themeColor="text1"/>
          <w:sz w:val="24"/>
        </w:rPr>
        <w:t>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000000" w:themeColor="text1"/>
          <w:sz w:val="24"/>
          <w:highlight w:val="none"/>
          <w:lang w:val="en-US" w:eastAsia="zh-CN"/>
        </w:rPr>
        <w:t>交易</w:t>
      </w:r>
      <w:r>
        <w:rPr>
          <w:rFonts w:hint="eastAsia" w:ascii="宋体" w:hAnsi="宋体"/>
          <w:color w:val="000000" w:themeColor="text1"/>
          <w:sz w:val="24"/>
          <w:highlight w:val="none"/>
        </w:rPr>
        <w:t>优惠报价有效范围表》确定。</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2、资格审查：交易会议后由评审小组按照交易文件规定对最接近基准价的5名交易响应人进行资格审查，资格审查不通过的，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并依次递补。</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3、符合性审查：根据交易文件规定，对通过资格审查的交易响应人进行符合性审查，符合性审查不通过的，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w:t>
      </w:r>
    </w:p>
    <w:p>
      <w:pPr>
        <w:spacing w:line="360" w:lineRule="auto"/>
        <w:ind w:firstLine="480" w:firstLineChars="200"/>
        <w:rPr>
          <w:rFonts w:ascii="宋体" w:hAnsi="宋体"/>
          <w:sz w:val="24"/>
          <w:highlight w:val="none"/>
        </w:rPr>
      </w:pPr>
      <w:r>
        <w:rPr>
          <w:rFonts w:hint="eastAsia" w:ascii="宋体" w:hAnsi="宋体"/>
          <w:color w:val="000000" w:themeColor="text1"/>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b/>
          <w:bCs w:val="0"/>
          <w:color w:val="auto"/>
          <w:sz w:val="24"/>
          <w:szCs w:val="22"/>
          <w:highlight w:val="none"/>
          <w:lang w:val="en-US" w:eastAsia="zh-CN"/>
        </w:rPr>
        <w:t>按开标记录表的先后顺序依次编号，</w:t>
      </w:r>
      <w:r>
        <w:rPr>
          <w:rFonts w:hint="eastAsia"/>
          <w:sz w:val="24"/>
          <w:highlight w:val="none"/>
          <w:lang w:val="en-US" w:eastAsia="zh-CN"/>
        </w:rPr>
        <w:t>并</w:t>
      </w:r>
      <w:r>
        <w:rPr>
          <w:rFonts w:hint="eastAsia"/>
          <w:sz w:val="24"/>
          <w:highlight w:val="none"/>
        </w:rPr>
        <w:t>采用随机抽签方式确定</w:t>
      </w:r>
      <w:r>
        <w:rPr>
          <w:rFonts w:hint="eastAsia"/>
          <w:sz w:val="24"/>
          <w:highlight w:val="none"/>
          <w:lang w:eastAsia="zh-CN"/>
        </w:rPr>
        <w:t>成交</w:t>
      </w:r>
      <w:r>
        <w:rPr>
          <w:rFonts w:hint="eastAsia"/>
          <w:sz w:val="24"/>
          <w:highlight w:val="none"/>
        </w:rPr>
        <w:t>候选人。</w:t>
      </w: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7120456"/>
      <w:bookmarkStart w:id="149" w:name="_Toc296891196"/>
      <w:bookmarkStart w:id="150" w:name="_Toc296944495"/>
      <w:bookmarkStart w:id="151" w:name="_Toc292559361"/>
      <w:bookmarkStart w:id="152" w:name="_Toc296503156"/>
      <w:bookmarkStart w:id="153" w:name="_Toc296347155"/>
      <w:bookmarkStart w:id="154" w:name="_Toc296346657"/>
      <w:bookmarkStart w:id="155" w:name="_Toc296890984"/>
      <w:bookmarkStart w:id="156" w:name="_Toc292559866"/>
      <w:bookmarkStart w:id="157" w:name="_Toc297048342"/>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18581155"/>
      <w:bookmarkStart w:id="159" w:name="_Toc304295521"/>
      <w:bookmarkStart w:id="160" w:name="_Toc312677986"/>
      <w:bookmarkStart w:id="161" w:name="_Toc303539100"/>
      <w:bookmarkStart w:id="162" w:name="_Toc300934943"/>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12677987"/>
      <w:bookmarkStart w:id="164" w:name="_Toc300934944"/>
      <w:bookmarkStart w:id="165" w:name="_Toc303539101"/>
      <w:bookmarkStart w:id="166" w:name="_Toc318581156"/>
      <w:bookmarkStart w:id="167" w:name="_Toc304295522"/>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6347156"/>
      <w:bookmarkStart w:id="171" w:name="_Toc297120457"/>
      <w:bookmarkStart w:id="172" w:name="_Toc296346658"/>
      <w:bookmarkStart w:id="173" w:name="_Toc296503157"/>
      <w:bookmarkStart w:id="174" w:name="_Toc296890985"/>
      <w:bookmarkStart w:id="175" w:name="_Toc292559867"/>
      <w:bookmarkStart w:id="176" w:name="_Toc292559362"/>
      <w:bookmarkStart w:id="177" w:name="_Toc296891197"/>
      <w:bookmarkStart w:id="178" w:name="_Toc296944496"/>
      <w:bookmarkStart w:id="179" w:name="_Toc297048343"/>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6346659"/>
      <w:bookmarkStart w:id="182" w:name="_Toc296890986"/>
      <w:bookmarkStart w:id="183" w:name="_Toc297048344"/>
      <w:bookmarkStart w:id="184" w:name="_Toc297120458"/>
      <w:bookmarkStart w:id="185" w:name="_Toc296891198"/>
      <w:bookmarkStart w:id="186" w:name="_Toc292559868"/>
      <w:bookmarkStart w:id="187" w:name="_Toc296503158"/>
      <w:bookmarkStart w:id="188" w:name="_Toc292559363"/>
      <w:bookmarkStart w:id="189" w:name="_Toc296944497"/>
      <w:bookmarkStart w:id="190" w:name="_Toc296347157"/>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297120459"/>
      <w:bookmarkStart w:id="192" w:name="_Toc296891199"/>
      <w:bookmarkStart w:id="193" w:name="_Toc312677988"/>
      <w:bookmarkStart w:id="194" w:name="_Toc292559869"/>
      <w:bookmarkStart w:id="195" w:name="_Toc297216151"/>
      <w:bookmarkStart w:id="196" w:name="_Toc303539102"/>
      <w:bookmarkStart w:id="197" w:name="_Toc296503159"/>
      <w:bookmarkStart w:id="198" w:name="_Toc297123492"/>
      <w:bookmarkStart w:id="199" w:name="_Toc300934945"/>
      <w:bookmarkStart w:id="200" w:name="_Toc296944498"/>
      <w:bookmarkStart w:id="201" w:name="_Toc296347158"/>
      <w:bookmarkStart w:id="202" w:name="_Toc297048345"/>
      <w:bookmarkStart w:id="203" w:name="_Toc304295523"/>
      <w:bookmarkStart w:id="204" w:name="_Toc296890987"/>
      <w:bookmarkStart w:id="205" w:name="_Toc292559364"/>
      <w:bookmarkStart w:id="206" w:name="_Toc296346660"/>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2559365"/>
      <w:bookmarkStart w:id="208" w:name="_Toc297120460"/>
      <w:bookmarkStart w:id="209" w:name="_Toc300934946"/>
      <w:bookmarkStart w:id="210" w:name="_Toc297048346"/>
      <w:bookmarkStart w:id="211" w:name="_Toc296503160"/>
      <w:bookmarkStart w:id="212" w:name="_Toc297216152"/>
      <w:bookmarkStart w:id="213" w:name="_Toc296891200"/>
      <w:bookmarkStart w:id="214" w:name="_Toc296346661"/>
      <w:bookmarkStart w:id="215" w:name="_Toc296890988"/>
      <w:bookmarkStart w:id="216" w:name="_Toc297123493"/>
      <w:bookmarkStart w:id="217" w:name="_Toc303539103"/>
      <w:bookmarkStart w:id="218" w:name="_Toc296347159"/>
      <w:bookmarkStart w:id="219" w:name="_Toc296944499"/>
      <w:bookmarkStart w:id="220" w:name="_Toc292559870"/>
      <w:bookmarkStart w:id="221" w:name="_Toc304295524"/>
      <w:bookmarkStart w:id="222" w:name="_Toc318581158"/>
      <w:bookmarkStart w:id="223" w:name="_Toc312677989"/>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7120461"/>
      <w:bookmarkStart w:id="225" w:name="_Toc300934947"/>
      <w:bookmarkStart w:id="226" w:name="_Toc296891201"/>
      <w:bookmarkStart w:id="227" w:name="_Toc304295525"/>
      <w:bookmarkStart w:id="228" w:name="_Toc297216153"/>
      <w:bookmarkStart w:id="229" w:name="_Toc296346662"/>
      <w:bookmarkStart w:id="230" w:name="_Toc296890989"/>
      <w:bookmarkStart w:id="231" w:name="_Toc296347160"/>
      <w:bookmarkStart w:id="232" w:name="_Toc303539104"/>
      <w:bookmarkStart w:id="233" w:name="_Toc296944500"/>
      <w:bookmarkStart w:id="234" w:name="_Toc297123494"/>
      <w:bookmarkStart w:id="235" w:name="_Toc296503161"/>
      <w:bookmarkStart w:id="236" w:name="_Toc297048347"/>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2677990"/>
      <w:bookmarkStart w:id="238" w:name="_Toc318581159"/>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6944501"/>
      <w:bookmarkStart w:id="241" w:name="_Toc296346663"/>
      <w:bookmarkStart w:id="242" w:name="_Toc292559871"/>
      <w:bookmarkStart w:id="243" w:name="_Toc296347161"/>
      <w:bookmarkStart w:id="244" w:name="_Toc292559366"/>
      <w:bookmarkStart w:id="245" w:name="_Toc297120462"/>
      <w:bookmarkStart w:id="246" w:name="_Toc297048348"/>
      <w:bookmarkStart w:id="247" w:name="_Toc296890990"/>
      <w:bookmarkStart w:id="248" w:name="_Toc296503162"/>
      <w:bookmarkStart w:id="249" w:name="_Toc296891202"/>
      <w:bookmarkStart w:id="250" w:name="_Toc267251413"/>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6347162"/>
      <w:bookmarkStart w:id="254" w:name="_Toc297048349"/>
      <w:bookmarkStart w:id="255" w:name="_Toc296346664"/>
      <w:bookmarkStart w:id="256" w:name="_Toc292559872"/>
      <w:bookmarkStart w:id="257" w:name="_Toc296944502"/>
      <w:bookmarkStart w:id="258" w:name="_Toc296891203"/>
      <w:bookmarkStart w:id="259" w:name="_Toc292559367"/>
      <w:bookmarkStart w:id="260" w:name="_Toc296503163"/>
      <w:bookmarkStart w:id="261" w:name="_Toc297120463"/>
      <w:bookmarkStart w:id="262" w:name="_Toc296890991"/>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04295527"/>
      <w:bookmarkStart w:id="264" w:name="_Toc303539106"/>
      <w:bookmarkStart w:id="265" w:name="_Toc297216155"/>
      <w:bookmarkStart w:id="266" w:name="_Toc297123496"/>
      <w:bookmarkStart w:id="267" w:name="_Toc300934949"/>
      <w:bookmarkStart w:id="268" w:name="_Toc312677997"/>
      <w:bookmarkStart w:id="269" w:name="_Toc318581164"/>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12677479"/>
      <w:bookmarkStart w:id="273" w:name="_Toc303539123"/>
      <w:bookmarkStart w:id="274" w:name="_Toc312678005"/>
      <w:bookmarkStart w:id="275" w:name="_Toc304295541"/>
      <w:bookmarkStart w:id="276" w:name="_Toc297216173"/>
      <w:bookmarkStart w:id="277" w:name="_Toc300934966"/>
      <w:bookmarkStart w:id="278" w:name="_Toc297123514"/>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297123516"/>
      <w:bookmarkStart w:id="280" w:name="_Toc297216175"/>
      <w:bookmarkStart w:id="281" w:name="_Toc304295546"/>
      <w:bookmarkStart w:id="282" w:name="_Toc312678010"/>
      <w:bookmarkStart w:id="283" w:name="_Toc312677484"/>
      <w:bookmarkStart w:id="284" w:name="_Toc300934968"/>
      <w:bookmarkStart w:id="285" w:name="_Toc303539125"/>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2677486"/>
      <w:bookmarkStart w:id="287" w:name="_Toc312678012"/>
      <w:bookmarkStart w:id="288" w:name="_Toc318581169"/>
      <w:bookmarkStart w:id="289" w:name="_Toc297123518"/>
      <w:bookmarkStart w:id="290" w:name="_Toc304295548"/>
      <w:bookmarkStart w:id="291" w:name="_Toc303539127"/>
      <w:bookmarkStart w:id="292" w:name="_Toc297216177"/>
      <w:bookmarkStart w:id="293" w:name="_Toc300934970"/>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8013"/>
      <w:bookmarkStart w:id="295" w:name="_Toc312677487"/>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8581171"/>
      <w:bookmarkStart w:id="298" w:name="_Toc312678014"/>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297216178"/>
      <w:bookmarkStart w:id="300" w:name="_Toc300934971"/>
      <w:bookmarkStart w:id="301" w:name="_Toc303539128"/>
      <w:bookmarkStart w:id="302" w:name="_Toc297123519"/>
      <w:bookmarkStart w:id="303" w:name="_Toc312678015"/>
      <w:bookmarkStart w:id="304" w:name="_Toc304295549"/>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318581172"/>
      <w:bookmarkStart w:id="306" w:name="_Toc297216179"/>
      <w:bookmarkStart w:id="307" w:name="_Toc297123520"/>
      <w:bookmarkStart w:id="308" w:name="_Toc312678016"/>
      <w:bookmarkStart w:id="309" w:name="_Toc303539129"/>
      <w:bookmarkStart w:id="310" w:name="_Toc300934972"/>
      <w:bookmarkStart w:id="311" w:name="_Toc304295550"/>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300934973"/>
      <w:bookmarkStart w:id="313" w:name="_Toc297123521"/>
      <w:bookmarkStart w:id="314" w:name="_Toc312678017"/>
      <w:bookmarkStart w:id="315" w:name="_Toc297216180"/>
      <w:bookmarkStart w:id="316" w:name="_Toc303539130"/>
      <w:bookmarkStart w:id="317" w:name="_Toc304295551"/>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296890995"/>
      <w:bookmarkStart w:id="320" w:name="_Toc297123527"/>
      <w:bookmarkStart w:id="321" w:name="_Toc297120467"/>
      <w:bookmarkStart w:id="322" w:name="_Toc303539136"/>
      <w:bookmarkStart w:id="323" w:name="_Toc296347166"/>
      <w:bookmarkStart w:id="324" w:name="_Toc312678019"/>
      <w:bookmarkStart w:id="325" w:name="_Toc296944506"/>
      <w:bookmarkStart w:id="326" w:name="_Toc280868654"/>
      <w:bookmarkStart w:id="327" w:name="_Toc296346668"/>
      <w:bookmarkStart w:id="328" w:name="_Toc292559877"/>
      <w:bookmarkStart w:id="329" w:name="_Toc296503167"/>
      <w:bookmarkStart w:id="330" w:name="_Toc300934979"/>
      <w:bookmarkStart w:id="331" w:name="_Toc292559372"/>
      <w:bookmarkStart w:id="332" w:name="_Toc297216186"/>
      <w:bookmarkStart w:id="333" w:name="_Toc296891207"/>
      <w:bookmarkStart w:id="334" w:name="_Toc297048353"/>
      <w:bookmarkStart w:id="335" w:name="_Toc304295556"/>
      <w:bookmarkStart w:id="336" w:name="_Toc312677493"/>
      <w:bookmarkStart w:id="337" w:name="_Toc280868655"/>
      <w:bookmarkStart w:id="338" w:name="_Toc280868656"/>
      <w:bookmarkStart w:id="339" w:name="_Toc267251424"/>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373"/>
      <w:bookmarkStart w:id="341" w:name="_Toc292559878"/>
      <w:bookmarkStart w:id="342" w:name="_Toc303539137"/>
      <w:bookmarkStart w:id="343" w:name="_Toc296944507"/>
      <w:bookmarkStart w:id="344" w:name="_Toc304295557"/>
      <w:bookmarkStart w:id="345" w:name="_Toc318581173"/>
      <w:bookmarkStart w:id="346" w:name="_Toc297048354"/>
      <w:bookmarkStart w:id="347" w:name="_Toc312678020"/>
      <w:bookmarkStart w:id="348" w:name="_Toc312677494"/>
      <w:bookmarkStart w:id="349" w:name="_Toc297120468"/>
      <w:bookmarkStart w:id="350" w:name="_Toc297123528"/>
      <w:bookmarkStart w:id="351" w:name="_Toc296347167"/>
      <w:bookmarkStart w:id="352" w:name="_Toc296891208"/>
      <w:bookmarkStart w:id="353" w:name="_Toc296346669"/>
      <w:bookmarkStart w:id="354" w:name="_Toc296890996"/>
      <w:bookmarkStart w:id="355" w:name="_Toc300934980"/>
      <w:bookmarkStart w:id="356" w:name="_Toc296503168"/>
      <w:bookmarkStart w:id="357" w:name="_Toc297216187"/>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297216192"/>
      <w:bookmarkStart w:id="360" w:name="_Toc303539139"/>
      <w:bookmarkStart w:id="361" w:name="_Toc300934982"/>
      <w:bookmarkStart w:id="362" w:name="_Toc297123533"/>
      <w:bookmarkStart w:id="363" w:name="_Toc312678021"/>
      <w:bookmarkStart w:id="364" w:name="_Toc304295559"/>
      <w:bookmarkStart w:id="365" w:name="_Toc312677495"/>
      <w:bookmarkStart w:id="366" w:name="_Toc296346674"/>
      <w:bookmarkStart w:id="367" w:name="_Toc267251427"/>
      <w:bookmarkStart w:id="368" w:name="_Toc292559883"/>
      <w:bookmarkStart w:id="369" w:name="_Toc296891001"/>
      <w:bookmarkStart w:id="370" w:name="_Toc297048359"/>
      <w:bookmarkStart w:id="371" w:name="_Toc296891213"/>
      <w:bookmarkStart w:id="372" w:name="_Toc296347172"/>
      <w:bookmarkStart w:id="373" w:name="_Toc267251428"/>
      <w:bookmarkStart w:id="374" w:name="_Toc296503173"/>
      <w:bookmarkStart w:id="375" w:name="_Toc292559378"/>
      <w:bookmarkStart w:id="376" w:name="_Toc297120473"/>
      <w:bookmarkStart w:id="377" w:name="_Toc296944512"/>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297123534"/>
      <w:bookmarkStart w:id="379" w:name="_Toc297216193"/>
      <w:bookmarkStart w:id="380" w:name="_Toc312678022"/>
      <w:bookmarkStart w:id="381" w:name="_Toc312677496"/>
      <w:bookmarkStart w:id="382" w:name="_Toc304295560"/>
      <w:bookmarkStart w:id="383" w:name="_Toc300934983"/>
      <w:bookmarkStart w:id="384" w:name="_Toc303539140"/>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304295561"/>
      <w:bookmarkStart w:id="386" w:name="_Toc297216194"/>
      <w:bookmarkStart w:id="387" w:name="_Toc303539141"/>
      <w:bookmarkStart w:id="388" w:name="_Toc312677497"/>
      <w:bookmarkStart w:id="389" w:name="_Toc300934984"/>
      <w:bookmarkStart w:id="390" w:name="_Toc312678023"/>
      <w:bookmarkStart w:id="391" w:name="_Toc297123535"/>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304295562"/>
      <w:bookmarkStart w:id="394" w:name="_Toc312678024"/>
      <w:bookmarkStart w:id="395" w:name="_Toc312677498"/>
      <w:bookmarkStart w:id="396" w:name="_Toc300934985"/>
      <w:bookmarkStart w:id="397" w:name="_Toc303539142"/>
      <w:bookmarkStart w:id="398" w:name="_Toc297216195"/>
      <w:bookmarkStart w:id="399" w:name="_Toc297123536"/>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2559903"/>
      <w:bookmarkStart w:id="402" w:name="_Toc297216199"/>
      <w:bookmarkStart w:id="403" w:name="_Toc292559398"/>
      <w:bookmarkStart w:id="404" w:name="_Toc296944532"/>
      <w:bookmarkStart w:id="405" w:name="_Toc300934989"/>
      <w:bookmarkStart w:id="406" w:name="_Toc296503193"/>
      <w:bookmarkStart w:id="407" w:name="_Toc296346694"/>
      <w:bookmarkStart w:id="408" w:name="_Toc296347192"/>
      <w:bookmarkStart w:id="409" w:name="_Toc304295566"/>
      <w:bookmarkStart w:id="410" w:name="_Toc296891021"/>
      <w:bookmarkStart w:id="411" w:name="_Toc297123540"/>
      <w:bookmarkStart w:id="412" w:name="_Toc303539146"/>
      <w:bookmarkStart w:id="413" w:name="_Toc297120493"/>
      <w:bookmarkStart w:id="414" w:name="_Toc296891233"/>
      <w:bookmarkStart w:id="415" w:name="_Toc297048379"/>
      <w:bookmarkStart w:id="416" w:name="_Toc312677499"/>
      <w:bookmarkStart w:id="417" w:name="_Toc312678025"/>
      <w:bookmarkStart w:id="418" w:name="_Toc267251441"/>
      <w:bookmarkStart w:id="419" w:name="_Toc267251440"/>
      <w:bookmarkStart w:id="420" w:name="_Toc267251433"/>
      <w:bookmarkStart w:id="421" w:name="_Toc267251437"/>
      <w:bookmarkStart w:id="422" w:name="_Toc267251439"/>
      <w:bookmarkStart w:id="423" w:name="_Toc267251435"/>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297216200"/>
      <w:bookmarkStart w:id="426" w:name="_Toc312677500"/>
      <w:bookmarkStart w:id="427" w:name="_Toc296503194"/>
      <w:bookmarkStart w:id="428" w:name="_Toc300934990"/>
      <w:bookmarkStart w:id="429" w:name="_Toc296944533"/>
      <w:bookmarkStart w:id="430" w:name="_Toc297123541"/>
      <w:bookmarkStart w:id="431" w:name="_Toc312678026"/>
      <w:bookmarkStart w:id="432" w:name="_Toc297120494"/>
      <w:bookmarkStart w:id="433" w:name="_Toc296891022"/>
      <w:bookmarkStart w:id="434" w:name="_Toc292559904"/>
      <w:bookmarkStart w:id="435" w:name="_Toc304295567"/>
      <w:bookmarkStart w:id="436" w:name="_Toc297048380"/>
      <w:bookmarkStart w:id="437" w:name="_Toc292559399"/>
      <w:bookmarkStart w:id="438" w:name="_Toc296891234"/>
      <w:bookmarkStart w:id="439" w:name="_Toc296346695"/>
      <w:bookmarkStart w:id="440" w:name="_Toc303539147"/>
      <w:bookmarkStart w:id="441" w:name="_Toc296347193"/>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w:t>
      </w:r>
      <w:r>
        <w:rPr>
          <w:rFonts w:hint="eastAsia" w:ascii="仿宋_GB2312" w:eastAsia="仿宋_GB2312"/>
          <w:bCs/>
          <w:iCs/>
          <w:sz w:val="24"/>
          <w:highlight w:val="none"/>
        </w:rPr>
        <w:t>2015】25号《淳安县政府投资项目工程违规变更责任追究暂行办法（试行）》第十一条规定，向交易发起人承担如下违约责任，并按如下办法结算：</w:t>
      </w:r>
    </w:p>
    <w:p>
      <w:pPr>
        <w:pStyle w:val="85"/>
        <w:numPr>
          <w:ilvl w:val="0"/>
          <w:numId w:val="2"/>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6503197"/>
      <w:bookmarkStart w:id="443" w:name="_Toc296346698"/>
      <w:bookmarkStart w:id="444" w:name="_Toc296891237"/>
      <w:bookmarkStart w:id="445" w:name="_Toc292559907"/>
      <w:bookmarkStart w:id="446" w:name="_Toc303539150"/>
      <w:bookmarkStart w:id="447" w:name="_Toc292559402"/>
      <w:bookmarkStart w:id="448" w:name="_Toc300934993"/>
      <w:bookmarkStart w:id="449" w:name="_Toc297123544"/>
      <w:bookmarkStart w:id="450" w:name="_Toc296891025"/>
      <w:bookmarkStart w:id="451" w:name="_Toc297120497"/>
      <w:bookmarkStart w:id="452" w:name="_Toc297048383"/>
      <w:bookmarkStart w:id="453" w:name="_Toc296347196"/>
      <w:bookmarkStart w:id="454" w:name="_Toc296944536"/>
      <w:bookmarkStart w:id="455" w:name="_Toc297216203"/>
      <w:bookmarkStart w:id="456" w:name="_Toc312677503"/>
      <w:bookmarkStart w:id="457" w:name="_Toc304295570"/>
      <w:bookmarkStart w:id="458" w:name="_Toc312678029"/>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347202"/>
      <w:bookmarkStart w:id="460" w:name="_Toc297216204"/>
      <w:bookmarkStart w:id="461" w:name="_Toc296891031"/>
      <w:bookmarkStart w:id="462" w:name="_Toc297120503"/>
      <w:bookmarkStart w:id="463" w:name="_Toc296346704"/>
      <w:bookmarkStart w:id="464" w:name="_Toc292559913"/>
      <w:bookmarkStart w:id="465" w:name="_Toc296944542"/>
      <w:bookmarkStart w:id="466" w:name="_Toc300934994"/>
      <w:bookmarkStart w:id="467" w:name="_Toc296503203"/>
      <w:bookmarkStart w:id="468" w:name="_Toc296891243"/>
      <w:bookmarkStart w:id="469" w:name="_Toc303539151"/>
      <w:bookmarkStart w:id="470" w:name="_Toc297123545"/>
      <w:bookmarkStart w:id="471" w:name="_Toc297048389"/>
      <w:bookmarkStart w:id="472" w:name="_Toc292559408"/>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312677504"/>
      <w:bookmarkStart w:id="474" w:name="_Toc296891244"/>
      <w:bookmarkStart w:id="475" w:name="_Toc297048390"/>
      <w:bookmarkStart w:id="476" w:name="_Toc297123546"/>
      <w:bookmarkStart w:id="477" w:name="_Toc312678030"/>
      <w:bookmarkStart w:id="478" w:name="_Toc296503204"/>
      <w:bookmarkStart w:id="479" w:name="_Toc296347203"/>
      <w:bookmarkStart w:id="480" w:name="_Toc292559409"/>
      <w:bookmarkStart w:id="481" w:name="_Toc296346705"/>
      <w:bookmarkStart w:id="482" w:name="_Toc296891032"/>
      <w:bookmarkStart w:id="483" w:name="_Toc304295571"/>
      <w:bookmarkStart w:id="484" w:name="_Toc297216205"/>
      <w:bookmarkStart w:id="485" w:name="_Toc303539152"/>
      <w:bookmarkStart w:id="486" w:name="_Toc300934995"/>
      <w:bookmarkStart w:id="487" w:name="_Toc297120504"/>
      <w:bookmarkStart w:id="488" w:name="_Toc318581175"/>
      <w:bookmarkStart w:id="489" w:name="_Toc292559914"/>
      <w:bookmarkStart w:id="490" w:name="_Toc296944543"/>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7123548"/>
      <w:bookmarkStart w:id="492" w:name="_Toc292559909"/>
      <w:bookmarkStart w:id="493" w:name="_Toc297120499"/>
      <w:bookmarkStart w:id="494" w:name="_Toc297216207"/>
      <w:bookmarkStart w:id="495" w:name="_Toc312677507"/>
      <w:bookmarkStart w:id="496" w:name="_Toc300934997"/>
      <w:bookmarkStart w:id="497" w:name="_Toc296347198"/>
      <w:bookmarkStart w:id="498" w:name="_Toc292559404"/>
      <w:bookmarkStart w:id="499" w:name="_Toc296891027"/>
      <w:bookmarkStart w:id="500" w:name="_Toc296503199"/>
      <w:bookmarkStart w:id="501" w:name="_Toc296944538"/>
      <w:bookmarkStart w:id="502" w:name="_Toc296891239"/>
      <w:bookmarkStart w:id="503" w:name="_Toc303539154"/>
      <w:bookmarkStart w:id="504" w:name="_Toc312678033"/>
      <w:bookmarkStart w:id="505" w:name="_Toc297048385"/>
      <w:bookmarkStart w:id="506" w:name="_Toc296346700"/>
      <w:bookmarkStart w:id="507" w:name="_Toc304295574"/>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2678034"/>
      <w:bookmarkStart w:id="509" w:name="_Toc312677508"/>
      <w:bookmarkStart w:id="510" w:name="_Toc318581176"/>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2677509"/>
      <w:bookmarkStart w:id="512" w:name="_Toc312678035"/>
      <w:bookmarkStart w:id="513" w:name="_Toc318581177"/>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297216209"/>
      <w:bookmarkStart w:id="516" w:name="_Toc297123550"/>
      <w:bookmarkStart w:id="517" w:name="_Toc297120501"/>
      <w:bookmarkStart w:id="518" w:name="_Toc296346702"/>
      <w:bookmarkStart w:id="519" w:name="_Toc292559911"/>
      <w:bookmarkStart w:id="520" w:name="_Toc296347200"/>
      <w:bookmarkStart w:id="521" w:name="_Toc303539157"/>
      <w:bookmarkStart w:id="522" w:name="_Toc296944540"/>
      <w:bookmarkStart w:id="523" w:name="_Toc304295577"/>
      <w:bookmarkStart w:id="524" w:name="_Toc296891029"/>
      <w:bookmarkStart w:id="525" w:name="_Toc292559406"/>
      <w:bookmarkStart w:id="526" w:name="_Toc300935000"/>
      <w:bookmarkStart w:id="527" w:name="_Toc296503201"/>
      <w:bookmarkStart w:id="528" w:name="_Toc297048387"/>
      <w:bookmarkStart w:id="529" w:name="_Toc296891241"/>
      <w:bookmarkStart w:id="530" w:name="_Toc312678039"/>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2559410"/>
      <w:bookmarkStart w:id="532" w:name="_Toc296346706"/>
      <w:bookmarkStart w:id="533" w:name="_Toc297048391"/>
      <w:bookmarkStart w:id="534" w:name="_Toc296347204"/>
      <w:bookmarkStart w:id="535" w:name="_Toc296503205"/>
      <w:bookmarkStart w:id="536" w:name="_Toc296944544"/>
      <w:bookmarkStart w:id="537" w:name="_Toc292559915"/>
      <w:bookmarkStart w:id="538" w:name="_Toc297120505"/>
      <w:bookmarkStart w:id="539" w:name="_Toc296891033"/>
      <w:bookmarkStart w:id="540" w:name="_Toc296891245"/>
      <w:bookmarkStart w:id="541" w:name="_Toc351203644"/>
      <w:bookmarkStart w:id="542" w:name="_Toc303539159"/>
      <w:bookmarkStart w:id="543" w:name="_Toc312678040"/>
      <w:bookmarkStart w:id="544" w:name="_Toc297216211"/>
      <w:bookmarkStart w:id="545" w:name="_Toc297123552"/>
      <w:bookmarkStart w:id="546" w:name="_Toc300935002"/>
      <w:bookmarkStart w:id="547" w:name="_Toc304295579"/>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92559411"/>
      <w:bookmarkStart w:id="549" w:name="_Toc292559916"/>
      <w:bookmarkStart w:id="550" w:name="_Toc267251461"/>
      <w:bookmarkStart w:id="551" w:name="_Toc296347205"/>
      <w:bookmarkStart w:id="552" w:name="_Toc296891034"/>
      <w:bookmarkStart w:id="553" w:name="_Toc297048392"/>
      <w:bookmarkStart w:id="554" w:name="_Toc296944545"/>
      <w:bookmarkStart w:id="555" w:name="_Toc297120506"/>
      <w:bookmarkStart w:id="556" w:name="_Toc296503206"/>
      <w:bookmarkStart w:id="557" w:name="_Toc296891246"/>
      <w:bookmarkStart w:id="558" w:name="_Toc296346707"/>
      <w:bookmarkStart w:id="559" w:name="_Toc304295580"/>
      <w:bookmarkStart w:id="560" w:name="_Toc312678041"/>
      <w:bookmarkStart w:id="561" w:name="_Toc300935003"/>
      <w:bookmarkStart w:id="562" w:name="_Toc297216212"/>
      <w:bookmarkStart w:id="563" w:name="_Toc297123553"/>
      <w:bookmarkStart w:id="564" w:name="_Toc303539160"/>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w:t>
      </w:r>
      <w:r>
        <w:rPr>
          <w:rFonts w:hint="eastAsia" w:ascii="仿宋_GB2312" w:hAnsi="宋体" w:eastAsia="仿宋_GB2312" w:cs="Arial"/>
          <w:sz w:val="24"/>
          <w:u w:val="single"/>
          <w:lang w:eastAsia="zh-CN"/>
        </w:rPr>
        <w:t>利</w:t>
      </w:r>
      <w:r>
        <w:rPr>
          <w:rFonts w:hint="eastAsia" w:ascii="仿宋_GB2312" w:hAnsi="宋体" w:eastAsia="仿宋_GB2312" w:cs="Arial"/>
          <w:sz w:val="24"/>
          <w:u w:val="single"/>
        </w:rPr>
        <w:t>，单价的确定方法同上。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303539161"/>
      <w:bookmarkStart w:id="566" w:name="_Toc312678042"/>
      <w:bookmarkStart w:id="567" w:name="_Toc297123554"/>
      <w:bookmarkStart w:id="568" w:name="_Toc300935004"/>
      <w:bookmarkStart w:id="569" w:name="_Toc297216213"/>
      <w:bookmarkStart w:id="570" w:name="_Toc304295581"/>
      <w:bookmarkStart w:id="571" w:name="_Toc297048393"/>
      <w:bookmarkStart w:id="572" w:name="_Toc292559917"/>
      <w:bookmarkStart w:id="573" w:name="_Toc296347206"/>
      <w:bookmarkStart w:id="574" w:name="_Toc296503207"/>
      <w:bookmarkStart w:id="575" w:name="_Toc296891035"/>
      <w:bookmarkStart w:id="576" w:name="_Toc296891247"/>
      <w:bookmarkStart w:id="577" w:name="_Toc296346708"/>
      <w:bookmarkStart w:id="578" w:name="_Toc292559412"/>
      <w:bookmarkStart w:id="579" w:name="_Toc297120507"/>
      <w:bookmarkStart w:id="580" w:name="_Toc296944546"/>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eastAsia="仿宋_GB2312"/>
          <w:sz w:val="24"/>
          <w:u w:val="single"/>
          <w:lang w:val="en-US" w:eastAsia="zh-CN"/>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296891251"/>
      <w:bookmarkStart w:id="582" w:name="_Toc297048397"/>
      <w:bookmarkStart w:id="583" w:name="_Toc296346712"/>
      <w:bookmarkStart w:id="584" w:name="_Toc296503211"/>
      <w:bookmarkStart w:id="585" w:name="_Toc296347210"/>
      <w:bookmarkStart w:id="586" w:name="_Toc296891039"/>
      <w:bookmarkStart w:id="587" w:name="_Toc292559416"/>
      <w:bookmarkStart w:id="588" w:name="_Toc297216215"/>
      <w:bookmarkStart w:id="589" w:name="_Toc292559921"/>
      <w:bookmarkStart w:id="590" w:name="_Toc297120511"/>
      <w:bookmarkStart w:id="591" w:name="_Toc297123556"/>
      <w:bookmarkStart w:id="592" w:name="_Toc296944550"/>
      <w:bookmarkStart w:id="593" w:name="_Toc300935006"/>
      <w:bookmarkStart w:id="594" w:name="_Toc303539163"/>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297216223"/>
      <w:bookmarkStart w:id="597" w:name="_Toc300935015"/>
      <w:bookmarkStart w:id="598" w:name="_Toc303539172"/>
      <w:bookmarkStart w:id="599" w:name="_Toc292559424"/>
      <w:bookmarkStart w:id="600" w:name="_Toc296944558"/>
      <w:bookmarkStart w:id="601" w:name="_Toc296346720"/>
      <w:bookmarkStart w:id="602" w:name="_Toc296503219"/>
      <w:bookmarkStart w:id="603" w:name="_Toc297048405"/>
      <w:bookmarkStart w:id="604" w:name="_Toc312678053"/>
      <w:bookmarkStart w:id="605" w:name="_Toc296347218"/>
      <w:bookmarkStart w:id="606" w:name="_Toc296891259"/>
      <w:bookmarkStart w:id="607" w:name="_Toc296891047"/>
      <w:bookmarkStart w:id="608" w:name="_Toc292559929"/>
      <w:bookmarkStart w:id="609" w:name="_Toc304295593"/>
      <w:bookmarkStart w:id="610" w:name="_Toc297123564"/>
      <w:bookmarkStart w:id="611" w:name="_Toc297120519"/>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297048409"/>
      <w:bookmarkStart w:id="613" w:name="_Toc292559428"/>
      <w:bookmarkStart w:id="614" w:name="_Toc296891051"/>
      <w:bookmarkStart w:id="615" w:name="_Toc303539173"/>
      <w:bookmarkStart w:id="616" w:name="_Toc297123565"/>
      <w:bookmarkStart w:id="617" w:name="_Toc304295596"/>
      <w:bookmarkStart w:id="618" w:name="_Toc296346724"/>
      <w:bookmarkStart w:id="619" w:name="_Toc292559933"/>
      <w:bookmarkStart w:id="620" w:name="_Toc296503223"/>
      <w:bookmarkStart w:id="621" w:name="_Toc297120523"/>
      <w:bookmarkStart w:id="622" w:name="_Toc312678056"/>
      <w:bookmarkStart w:id="623" w:name="_Toc296891263"/>
      <w:bookmarkStart w:id="624" w:name="_Toc300935016"/>
      <w:bookmarkStart w:id="625" w:name="_Toc297216224"/>
      <w:bookmarkStart w:id="626" w:name="_Toc296347222"/>
      <w:bookmarkStart w:id="627" w:name="_Toc296944562"/>
      <w:bookmarkStart w:id="628" w:name="_Toc267251470"/>
      <w:bookmarkStart w:id="629" w:name="_Toc267251475"/>
      <w:bookmarkStart w:id="630" w:name="_Toc267251476"/>
      <w:bookmarkStart w:id="631" w:name="_Toc267251472"/>
      <w:bookmarkStart w:id="632" w:name="_Toc267251471"/>
      <w:bookmarkStart w:id="633" w:name="_Toc267251474"/>
      <w:bookmarkStart w:id="634" w:name="_Toc267251473"/>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2"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4"/>
      <w:bookmarkStart w:id="645" w:name="_Toc267251482"/>
      <w:bookmarkStart w:id="646" w:name="_Toc267251485"/>
      <w:bookmarkStart w:id="647" w:name="_Toc267251489"/>
      <w:bookmarkStart w:id="648" w:name="_Toc267251490"/>
      <w:bookmarkStart w:id="649" w:name="_Toc267251486"/>
      <w:bookmarkStart w:id="650" w:name="_Toc267251488"/>
      <w:bookmarkStart w:id="651" w:name="_Toc267251495"/>
      <w:bookmarkStart w:id="652" w:name="_Toc267251499"/>
      <w:bookmarkStart w:id="653" w:name="_Toc267251501"/>
      <w:bookmarkStart w:id="654" w:name="_Toc267251491"/>
      <w:bookmarkStart w:id="655" w:name="_Toc267251502"/>
      <w:bookmarkStart w:id="656" w:name="_Toc267251492"/>
      <w:bookmarkStart w:id="657" w:name="_Toc267251496"/>
      <w:bookmarkStart w:id="658" w:name="_Toc267251498"/>
      <w:bookmarkStart w:id="659" w:name="_Toc267251494"/>
      <w:bookmarkStart w:id="660" w:name="_Toc267251493"/>
      <w:bookmarkStart w:id="661" w:name="_Toc267251503"/>
      <w:bookmarkStart w:id="662" w:name="_Toc267251497"/>
      <w:bookmarkStart w:id="663" w:name="_Toc267251504"/>
      <w:bookmarkStart w:id="664" w:name="_Toc267251506"/>
      <w:bookmarkStart w:id="665" w:name="_Toc267251507"/>
      <w:bookmarkStart w:id="666" w:name="_Toc267251508"/>
      <w:bookmarkStart w:id="667" w:name="_Toc267251510"/>
      <w:bookmarkStart w:id="668" w:name="_Toc267251509"/>
      <w:bookmarkStart w:id="669" w:name="_Toc267251515"/>
      <w:bookmarkStart w:id="670" w:name="_Toc267251511"/>
      <w:bookmarkStart w:id="671" w:name="_Toc267251513"/>
      <w:bookmarkStart w:id="672" w:name="_Toc267251514"/>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346726"/>
      <w:bookmarkStart w:id="680" w:name="_Toc296347224"/>
      <w:bookmarkStart w:id="681" w:name="_Toc296503225"/>
      <w:bookmarkStart w:id="682" w:name="_Toc296944564"/>
      <w:bookmarkStart w:id="683" w:name="_Toc296891053"/>
      <w:bookmarkStart w:id="684" w:name="_Toc296891265"/>
      <w:bookmarkStart w:id="685" w:name="_Toc267261692"/>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346727"/>
      <w:bookmarkStart w:id="687" w:name="_Toc296347225"/>
      <w:bookmarkStart w:id="688" w:name="_Toc296891054"/>
      <w:bookmarkStart w:id="689" w:name="_Toc296891266"/>
      <w:bookmarkStart w:id="690" w:name="_Toc267261693"/>
      <w:bookmarkStart w:id="691" w:name="_Toc296503226"/>
      <w:bookmarkStart w:id="692" w:name="_Toc296944565"/>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891267"/>
      <w:bookmarkStart w:id="694" w:name="_Toc296503227"/>
      <w:bookmarkStart w:id="695" w:name="_Toc267261698"/>
      <w:bookmarkStart w:id="696" w:name="_Toc296891055"/>
      <w:bookmarkStart w:id="697" w:name="_Toc296346728"/>
      <w:bookmarkStart w:id="698" w:name="_Toc296944566"/>
      <w:bookmarkStart w:id="699" w:name="_Toc296347226"/>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347227"/>
      <w:bookmarkStart w:id="701" w:name="_Toc267261699"/>
      <w:bookmarkStart w:id="702" w:name="_Toc296891268"/>
      <w:bookmarkStart w:id="703" w:name="_Toc296944567"/>
      <w:bookmarkStart w:id="704" w:name="_Toc296891056"/>
      <w:bookmarkStart w:id="705" w:name="_Toc296346729"/>
      <w:bookmarkStart w:id="706" w:name="_Toc296503228"/>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346730"/>
      <w:bookmarkStart w:id="708" w:name="_Toc296503229"/>
      <w:bookmarkStart w:id="709" w:name="_Toc296891057"/>
      <w:bookmarkStart w:id="710" w:name="_Toc296944568"/>
      <w:bookmarkStart w:id="711" w:name="_Toc296347228"/>
      <w:bookmarkStart w:id="712" w:name="_Toc296891269"/>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347230"/>
      <w:bookmarkStart w:id="715" w:name="_Toc296891059"/>
      <w:bookmarkStart w:id="716" w:name="_Toc296503231"/>
      <w:bookmarkStart w:id="717" w:name="_Toc296891271"/>
      <w:bookmarkStart w:id="718" w:name="_Toc296346732"/>
      <w:bookmarkStart w:id="719" w:name="_Toc296944570"/>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96347231"/>
      <w:bookmarkStart w:id="721" w:name="_Toc296944571"/>
      <w:bookmarkStart w:id="722" w:name="_Toc296891060"/>
      <w:bookmarkStart w:id="723" w:name="_Toc296346733"/>
      <w:bookmarkStart w:id="724" w:name="_Toc296503232"/>
      <w:bookmarkStart w:id="725" w:name="_Toc296891272"/>
      <w:bookmarkStart w:id="726" w:name="_Toc267261702"/>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346734"/>
      <w:bookmarkStart w:id="728" w:name="_Toc296891061"/>
      <w:bookmarkStart w:id="729" w:name="_Toc296944572"/>
      <w:bookmarkStart w:id="730" w:name="_Toc296503233"/>
      <w:bookmarkStart w:id="731" w:name="_Toc296347232"/>
      <w:bookmarkStart w:id="732" w:name="_Toc296891273"/>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hint="eastAsia" w:ascii="宋体" w:hAnsi="宋体"/>
          <w:sz w:val="24"/>
        </w:rPr>
      </w:pPr>
      <w:r>
        <w:rPr>
          <w:rFonts w:hint="eastAsia" w:ascii="宋体" w:hAnsi="宋体"/>
          <w:sz w:val="24"/>
        </w:rPr>
        <w:t>(15)符合交易文件规定的项目经理社会保险证明</w:t>
      </w:r>
    </w:p>
    <w:p>
      <w:pPr>
        <w:widowControl w:val="0"/>
        <w:spacing w:line="360" w:lineRule="auto"/>
        <w:jc w:val="both"/>
        <w:rPr>
          <w:rFonts w:hint="eastAsia" w:ascii="宋体" w:hAnsi="宋体" w:eastAsia="宋体"/>
          <w:color w:val="FF0000"/>
          <w:sz w:val="24"/>
          <w:lang w:val="en-US" w:eastAsia="zh-CN"/>
        </w:rPr>
      </w:pPr>
      <w:r>
        <w:rPr>
          <w:rFonts w:hint="eastAsia" w:ascii="宋体" w:hAnsi="Courier New" w:eastAsia="宋体" w:cs="Courier New"/>
          <w:kern w:val="2"/>
          <w:sz w:val="24"/>
          <w:szCs w:val="21"/>
          <w:lang w:val="en-US" w:eastAsia="zh-CN" w:bidi="ar-SA"/>
        </w:rPr>
        <w:t>(16)</w:t>
      </w:r>
      <w:r>
        <w:rPr>
          <w:rFonts w:ascii="宋体" w:hAnsi="Courier New" w:eastAsia="宋体" w:cs="Courier New"/>
          <w:i/>
          <w:iCs/>
          <w:color w:val="FF0000"/>
          <w:kern w:val="2"/>
          <w:sz w:val="21"/>
          <w:szCs w:val="21"/>
          <w:highlight w:val="none"/>
          <w:lang w:val="en-US" w:eastAsia="zh-CN" w:bidi="ar-SA"/>
        </w:rPr>
        <w:t xml:space="preserve"> </w:t>
      </w:r>
      <w:r>
        <w:rPr>
          <w:rFonts w:hint="eastAsia" w:ascii="宋体" w:hAnsi="宋体" w:eastAsia="宋体"/>
          <w:color w:val="FF0000"/>
          <w:sz w:val="24"/>
          <w:lang w:val="en-US" w:eastAsia="zh-CN"/>
        </w:rPr>
        <w:t>提供交易响应人（自公告发布之日至交易响应截止日之间）在“浙江省建筑市场监管公共服务系统”上，参与交易响应资质的“资质动态核查结果证明”</w:t>
      </w:r>
    </w:p>
    <w:p>
      <w:pPr>
        <w:widowControl w:val="0"/>
        <w:spacing w:line="360" w:lineRule="auto"/>
        <w:jc w:val="left"/>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rPr>
          <w:rFonts w:hint="eastAsia"/>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rFonts w:hint="eastAsia"/>
          <w:lang w:val="en-US" w:eastAsia="zh-CN"/>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sz w:val="36"/>
        </w:rPr>
      </w:pPr>
      <w:r>
        <w:rPr>
          <w:rFonts w:hint="eastAsia"/>
          <w:b/>
          <w:bCs/>
          <w:sz w:val="36"/>
          <w:lang w:val="en-US" w:eastAsia="zh-CN"/>
        </w:rPr>
        <w:t xml:space="preserve">  </w:t>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none"/>
        </w:rPr>
      </w:pPr>
      <w:r>
        <w:rPr>
          <w:b/>
          <w:bCs/>
          <w:sz w:val="32"/>
        </w:rPr>
        <w:br w:type="page"/>
      </w:r>
      <w:r>
        <w:rPr>
          <w:rFonts w:hint="eastAsia"/>
          <w:b/>
          <w:bCs/>
          <w:sz w:val="32"/>
          <w:highlight w:val="none"/>
        </w:rPr>
        <w:t>交易会议委托书</w:t>
      </w:r>
    </w:p>
    <w:p>
      <w:pPr>
        <w:spacing w:line="480" w:lineRule="auto"/>
        <w:rPr>
          <w:sz w:val="24"/>
          <w:highlight w:val="none"/>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w:t>
      </w:r>
      <w:r>
        <w:rPr>
          <w:rFonts w:hint="eastAsia"/>
          <w:color w:val="FF0000"/>
          <w:sz w:val="24"/>
          <w:highlight w:val="none"/>
        </w:rPr>
        <w:t>《淳安县限额以下公共资源交易管理办法》</w:t>
      </w:r>
      <w:r>
        <w:rPr>
          <w:rFonts w:hint="eastAsia"/>
          <w:sz w:val="24"/>
          <w:highlight w:val="none"/>
        </w:rPr>
        <w:t>等有关规定，我单位经考察现场和研究上述交易文件的交易响应须知、合同条款、技术规范、图纸和工程量清单及其他有关文件后，我方愿以人民币（大写）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w:t>
      </w:r>
      <w:r>
        <w:rPr>
          <w:rFonts w:hint="eastAsia"/>
          <w:sz w:val="24"/>
        </w:rPr>
        <w:t>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w:t>
      </w:r>
      <w:r>
        <w:rPr>
          <w:rFonts w:hint="eastAsia"/>
          <w:sz w:val="24"/>
          <w:lang w:eastAsia="zh-CN"/>
        </w:rPr>
        <w:t>利</w:t>
      </w:r>
      <w:r>
        <w:rPr>
          <w:rFonts w:hint="eastAsia"/>
          <w:sz w:val="24"/>
        </w:rPr>
        <w:t>。</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rFonts w:hint="eastAsia"/>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jc w:val="center"/>
        <w:rPr>
          <w:rFonts w:ascii="Times New Roman" w:hAnsi="Times New Roman" w:cs="Times New Roman"/>
          <w:b/>
          <w:snapToGrid w:val="0"/>
          <w:sz w:val="30"/>
          <w:szCs w:val="30"/>
        </w:rPr>
      </w:pPr>
      <w:r>
        <w:rPr>
          <w:rFonts w:ascii="Times New Roman" w:hAnsi="Times New Roman" w:cs="Times New Roman"/>
          <w:b/>
          <w:snapToGrid w:val="0"/>
          <w:sz w:val="30"/>
          <w:szCs w:val="30"/>
        </w:rPr>
        <w:t>无在建工程承诺书</w:t>
      </w:r>
    </w:p>
    <w:p>
      <w:pPr>
        <w:rPr>
          <w:rFonts w:ascii="Times New Roman" w:hAnsi="Times New Roman" w:cs="Times New Roman"/>
          <w:snapToGrid w:val="0"/>
          <w:szCs w:val="24"/>
          <w:u w:val="single"/>
        </w:rPr>
      </w:pPr>
    </w:p>
    <w:p>
      <w:pPr>
        <w:spacing w:line="360" w:lineRule="auto"/>
        <w:ind w:firstLine="420" w:firstLineChars="200"/>
        <w:rPr>
          <w:rFonts w:ascii="Times New Roman" w:hAnsi="Times New Roman" w:cs="Times New Roman"/>
          <w:snapToGrid w:val="0"/>
          <w:szCs w:val="24"/>
        </w:rPr>
      </w:pP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交易发起人</w:t>
      </w:r>
      <w:r>
        <w:rPr>
          <w:rFonts w:ascii="Times New Roman" w:hAnsi="Times New Roman" w:cs="Times New Roman"/>
          <w:snapToGrid w:val="0"/>
          <w:szCs w:val="24"/>
        </w:rPr>
        <w:t>名称）：</w:t>
      </w:r>
    </w:p>
    <w:p>
      <w:pPr>
        <w:spacing w:line="360" w:lineRule="auto"/>
        <w:ind w:firstLine="480"/>
        <w:rPr>
          <w:rFonts w:ascii="Times New Roman" w:hAnsi="Times New Roman" w:cs="Times New Roman"/>
          <w:snapToGrid w:val="0"/>
          <w:szCs w:val="24"/>
        </w:rPr>
      </w:pPr>
      <w:r>
        <w:rPr>
          <w:rFonts w:ascii="Times New Roman" w:hAnsi="Times New Roman" w:cs="Times New Roman"/>
          <w:snapToGrid w:val="0"/>
          <w:szCs w:val="24"/>
        </w:rPr>
        <w:t>本</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rPr>
        <w:t>名称）郑重承诺：</w:t>
      </w:r>
    </w:p>
    <w:p>
      <w:pPr>
        <w:spacing w:line="360" w:lineRule="auto"/>
        <w:ind w:right="218" w:rightChars="104" w:firstLine="420" w:firstLineChars="200"/>
        <w:rPr>
          <w:rFonts w:ascii="Times New Roman" w:hAnsi="Times New Roman" w:cs="Times New Roman"/>
          <w:snapToGrid w:val="0"/>
          <w:szCs w:val="24"/>
        </w:rPr>
      </w:pPr>
      <w:r>
        <w:rPr>
          <w:rFonts w:ascii="Times New Roman" w:hAnsi="Times New Roman" w:cs="Times New Roman"/>
          <w:snapToGrid w:val="0"/>
        </w:rPr>
        <w:t>拟派本</w:t>
      </w:r>
      <w:r>
        <w:rPr>
          <w:rFonts w:hint="eastAsia" w:ascii="Times New Roman" w:hAnsi="Times New Roman" w:cs="Times New Roman"/>
          <w:snapToGrid w:val="0"/>
          <w:lang w:val="en-US" w:eastAsia="zh-CN"/>
        </w:rPr>
        <w:t>交易</w:t>
      </w:r>
      <w:r>
        <w:rPr>
          <w:rFonts w:ascii="Times New Roman" w:hAnsi="Times New Roman" w:cs="Times New Roman"/>
          <w:snapToGrid w:val="0"/>
        </w:rPr>
        <w:t>项目</w:t>
      </w:r>
      <w:r>
        <w:rPr>
          <w:rFonts w:ascii="Times New Roman" w:hAnsi="Times New Roman" w:cs="Times New Roman"/>
          <w:snapToGrid w:val="0"/>
          <w:u w:val="single"/>
        </w:rPr>
        <w:t xml:space="preserve">            </w:t>
      </w:r>
      <w:r>
        <w:rPr>
          <w:rFonts w:hint="eastAsia" w:ascii="Times New Roman" w:hAnsi="Times New Roman" w:cs="Times New Roman"/>
          <w:snapToGrid w:val="0"/>
          <w:u w:val="single"/>
        </w:rPr>
        <w:t xml:space="preserve">       </w:t>
      </w:r>
      <w:r>
        <w:rPr>
          <w:rFonts w:ascii="Times New Roman" w:hAnsi="Times New Roman" w:cs="Times New Roman"/>
          <w:snapToGrid w:val="0"/>
        </w:rPr>
        <w:t>（</w:t>
      </w:r>
      <w:r>
        <w:rPr>
          <w:rFonts w:hint="eastAsia" w:ascii="Times New Roman" w:hAnsi="Times New Roman" w:cs="Times New Roman"/>
          <w:snapToGrid w:val="0"/>
          <w:lang w:val="en-US" w:eastAsia="zh-CN"/>
        </w:rPr>
        <w:t>交易</w:t>
      </w:r>
      <w:r>
        <w:rPr>
          <w:rFonts w:ascii="Times New Roman" w:hAnsi="Times New Roman" w:cs="Times New Roman"/>
          <w:snapToGrid w:val="0"/>
        </w:rPr>
        <w:t>项目名称）的项目</w:t>
      </w:r>
      <w:r>
        <w:rPr>
          <w:rFonts w:hint="eastAsia" w:ascii="Times New Roman" w:hAnsi="Times New Roman" w:cs="Times New Roman"/>
          <w:snapToGrid w:val="0"/>
          <w:lang w:val="en-US" w:eastAsia="zh-CN"/>
        </w:rPr>
        <w:t>经理</w:t>
      </w:r>
      <w:r>
        <w:rPr>
          <w:rFonts w:ascii="Times New Roman" w:hAnsi="Times New Roman" w:cs="Times New Roman"/>
          <w:snapToGrid w:val="0"/>
          <w:u w:val="none"/>
        </w:rPr>
        <w:t xml:space="preserve"> </w:t>
      </w:r>
      <w:r>
        <w:rPr>
          <w:rFonts w:ascii="Times New Roman" w:hAnsi="Times New Roman" w:cs="Times New Roman"/>
          <w:snapToGrid w:val="0"/>
          <w:u w:val="single"/>
        </w:rPr>
        <w:t xml:space="preserve">         </w:t>
      </w:r>
      <w:r>
        <w:rPr>
          <w:rFonts w:ascii="Times New Roman" w:hAnsi="Times New Roman" w:cs="Times New Roman"/>
          <w:snapToGrid w:val="0"/>
        </w:rPr>
        <w:t>（姓名）（建造师注册证书号：</w:t>
      </w:r>
      <w:r>
        <w:rPr>
          <w:rFonts w:ascii="Times New Roman" w:hAnsi="Times New Roman" w:cs="Times New Roman"/>
          <w:snapToGrid w:val="0"/>
          <w:u w:val="single"/>
        </w:rPr>
        <w:t xml:space="preserve">             </w:t>
      </w:r>
      <w:r>
        <w:rPr>
          <w:rFonts w:ascii="Times New Roman" w:hAnsi="Times New Roman" w:cs="Times New Roman"/>
          <w:snapToGrid w:val="0"/>
        </w:rPr>
        <w:t>）无在建工程。</w:t>
      </w:r>
    </w:p>
    <w:p>
      <w:pPr>
        <w:spacing w:line="360" w:lineRule="auto"/>
        <w:ind w:firstLine="420" w:firstLineChars="200"/>
        <w:rPr>
          <w:rFonts w:ascii="Times New Roman" w:hAnsi="Times New Roman" w:cs="Times New Roman"/>
          <w:snapToGrid w:val="0"/>
        </w:rPr>
      </w:pPr>
      <w:r>
        <w:rPr>
          <w:rFonts w:ascii="Times New Roman" w:hAnsi="Times New Roman" w:cs="Times New Roman"/>
          <w:snapToGrid w:val="0"/>
        </w:rPr>
        <w:t>以上情况如有不实，愿意被取消</w:t>
      </w:r>
      <w:r>
        <w:rPr>
          <w:rFonts w:hint="eastAsia" w:ascii="Times New Roman" w:hAnsi="Times New Roman" w:cs="Times New Roman"/>
          <w:snapToGrid w:val="0"/>
          <w:lang w:val="en-US" w:eastAsia="zh-CN"/>
        </w:rPr>
        <w:t>成交</w:t>
      </w:r>
      <w:r>
        <w:rPr>
          <w:rFonts w:ascii="Times New Roman" w:hAnsi="Times New Roman" w:cs="Times New Roman"/>
          <w:snapToGrid w:val="0"/>
        </w:rPr>
        <w:t>资格</w:t>
      </w:r>
      <w:r>
        <w:rPr>
          <w:rFonts w:ascii="Times New Roman" w:hAnsi="Times New Roman" w:cs="Times New Roman"/>
          <w:bCs/>
          <w:snapToGrid w:val="0"/>
          <w:szCs w:val="24"/>
        </w:rPr>
        <w:t>并上报行政主管部门，由行政主管部门列入不良行为记录。</w:t>
      </w:r>
    </w:p>
    <w:p>
      <w:pPr>
        <w:spacing w:line="360" w:lineRule="auto"/>
        <w:ind w:firstLine="420"/>
        <w:rPr>
          <w:rFonts w:ascii="Times New Roman" w:hAnsi="Times New Roman" w:cs="Times New Roman"/>
          <w:snapToGrid w:val="0"/>
        </w:rPr>
      </w:pPr>
    </w:p>
    <w:p>
      <w:pPr>
        <w:spacing w:line="360" w:lineRule="auto"/>
        <w:ind w:firstLine="420"/>
        <w:rPr>
          <w:rFonts w:ascii="Times New Roman" w:hAnsi="Times New Roman" w:cs="Times New Roman"/>
          <w:snapToGrid w:val="0"/>
        </w:rPr>
      </w:pPr>
      <w:r>
        <w:rPr>
          <w:rFonts w:ascii="Times New Roman" w:hAnsi="Times New Roman" w:cs="Times New Roman"/>
          <w:snapToGrid w:val="0"/>
        </w:rPr>
        <w:t>附：</w:t>
      </w:r>
      <w:r>
        <w:rPr>
          <w:rFonts w:ascii="Times New Roman" w:hAnsi="Times New Roman" w:cs="Times New Roman"/>
          <w:snapToGrid w:val="0"/>
          <w:szCs w:val="24"/>
        </w:rPr>
        <w:t>拟派项目</w:t>
      </w:r>
      <w:r>
        <w:rPr>
          <w:rFonts w:hint="eastAsia" w:ascii="Times New Roman" w:hAnsi="Times New Roman" w:cs="Times New Roman"/>
          <w:snapToGrid w:val="0"/>
          <w:szCs w:val="24"/>
          <w:lang w:val="en-US" w:eastAsia="zh-CN"/>
        </w:rPr>
        <w:t>经理</w:t>
      </w:r>
      <w:r>
        <w:rPr>
          <w:rFonts w:ascii="Times New Roman" w:hAnsi="Times New Roman" w:cs="Times New Roman"/>
          <w:snapToGrid w:val="0"/>
        </w:rPr>
        <w:t>身份证复印件</w:t>
      </w:r>
    </w:p>
    <w:p>
      <w:pPr>
        <w:ind w:firstLine="420"/>
        <w:rPr>
          <w:rFonts w:ascii="Times New Roman" w:hAnsi="Times New Roman" w:cs="Times New Roman"/>
          <w:snapToGrid w:val="0"/>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7" w:type="dxa"/>
            <w:noWrap w:val="0"/>
            <w:vAlign w:val="top"/>
          </w:tcPr>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ind w:firstLine="2310" w:firstLineChars="110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拟派项目负责人身份证（正、反面）复印件粘贴处</w:t>
            </w: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ascii="Times New Roman" w:hAnsi="Times New Roman" w:cs="Times New Roman"/>
              </w:rPr>
            </w:pPr>
          </w:p>
        </w:tc>
      </w:tr>
    </w:tbl>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wordWrap w:val="0"/>
        <w:jc w:val="right"/>
        <w:rPr>
          <w:rFonts w:hint="eastAsia" w:ascii="Times New Roman" w:hAnsi="Times New Roman" w:cs="Times New Roman"/>
          <w:u w:val="single"/>
          <w:lang w:val="en-US" w:eastAsia="zh-CN"/>
        </w:rPr>
      </w:pPr>
      <w:r>
        <w:rPr>
          <w:rFonts w:hint="eastAsia" w:ascii="Times New Roman" w:hAnsi="Times New Roman" w:cs="Times New Roman"/>
        </w:rPr>
        <w:t>交易响应人：</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（盖单位章）</w:t>
      </w:r>
      <w:r>
        <w:rPr>
          <w:rFonts w:hint="eastAsia" w:ascii="Times New Roman" w:hAnsi="Times New Roman" w:cs="Times New Roman"/>
          <w:u w:val="single"/>
          <w:lang w:val="en-US" w:eastAsia="zh-CN"/>
        </w:rPr>
        <w:t xml:space="preserve">       </w:t>
      </w:r>
    </w:p>
    <w:p>
      <w:pPr>
        <w:widowControl w:val="0"/>
        <w:wordWrap w:val="0"/>
        <w:jc w:val="right"/>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年</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月</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日</w:t>
      </w:r>
    </w:p>
    <w:p>
      <w:pPr>
        <w:pStyle w:val="2"/>
      </w:pP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3NjE5MzIyZTNlMDUzZjYyZGE0NGY3ZTMwNzIwMGE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18B2"/>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0E02AA"/>
    <w:rsid w:val="02184C85"/>
    <w:rsid w:val="028B087C"/>
    <w:rsid w:val="028C11CF"/>
    <w:rsid w:val="02AE6111"/>
    <w:rsid w:val="03176827"/>
    <w:rsid w:val="03224C77"/>
    <w:rsid w:val="03263A89"/>
    <w:rsid w:val="035969A7"/>
    <w:rsid w:val="03953985"/>
    <w:rsid w:val="03B66504"/>
    <w:rsid w:val="03C230FA"/>
    <w:rsid w:val="03D03378"/>
    <w:rsid w:val="041F1F94"/>
    <w:rsid w:val="042C6CC6"/>
    <w:rsid w:val="046E1A50"/>
    <w:rsid w:val="04754611"/>
    <w:rsid w:val="04CD61E5"/>
    <w:rsid w:val="05263B6A"/>
    <w:rsid w:val="054E7577"/>
    <w:rsid w:val="05E57574"/>
    <w:rsid w:val="06005107"/>
    <w:rsid w:val="060519C4"/>
    <w:rsid w:val="064B2F7D"/>
    <w:rsid w:val="067526A6"/>
    <w:rsid w:val="06D42624"/>
    <w:rsid w:val="06EC45EB"/>
    <w:rsid w:val="06F01C51"/>
    <w:rsid w:val="06FC3FD9"/>
    <w:rsid w:val="07300D7F"/>
    <w:rsid w:val="073360BD"/>
    <w:rsid w:val="07465E8D"/>
    <w:rsid w:val="07C00A58"/>
    <w:rsid w:val="082A26E0"/>
    <w:rsid w:val="082F4AD6"/>
    <w:rsid w:val="08327741"/>
    <w:rsid w:val="0841638B"/>
    <w:rsid w:val="08422A5C"/>
    <w:rsid w:val="088C3CD7"/>
    <w:rsid w:val="08B97E7E"/>
    <w:rsid w:val="08CD64B9"/>
    <w:rsid w:val="08EC29C7"/>
    <w:rsid w:val="08FD2EF7"/>
    <w:rsid w:val="0946657C"/>
    <w:rsid w:val="098D5F59"/>
    <w:rsid w:val="09A80891"/>
    <w:rsid w:val="09A82D92"/>
    <w:rsid w:val="0A035F6C"/>
    <w:rsid w:val="0A456833"/>
    <w:rsid w:val="0A500BA3"/>
    <w:rsid w:val="0A530F50"/>
    <w:rsid w:val="0A7718BA"/>
    <w:rsid w:val="0A93560F"/>
    <w:rsid w:val="0AB5414C"/>
    <w:rsid w:val="0ADD2D6D"/>
    <w:rsid w:val="0B1D155E"/>
    <w:rsid w:val="0B1F06C9"/>
    <w:rsid w:val="0B2F633A"/>
    <w:rsid w:val="0B8F4260"/>
    <w:rsid w:val="0B9D5EBD"/>
    <w:rsid w:val="0B9F4CA0"/>
    <w:rsid w:val="0BAA46BF"/>
    <w:rsid w:val="0BB5534D"/>
    <w:rsid w:val="0C0F0353"/>
    <w:rsid w:val="0C0F4AF8"/>
    <w:rsid w:val="0C394176"/>
    <w:rsid w:val="0C3B6F34"/>
    <w:rsid w:val="0C580AA0"/>
    <w:rsid w:val="0CBD6B55"/>
    <w:rsid w:val="0CE9794A"/>
    <w:rsid w:val="0D143FDC"/>
    <w:rsid w:val="0D210971"/>
    <w:rsid w:val="0D4234FE"/>
    <w:rsid w:val="0D676AC1"/>
    <w:rsid w:val="0D701E19"/>
    <w:rsid w:val="0DA8010A"/>
    <w:rsid w:val="0DC363ED"/>
    <w:rsid w:val="0DDD1ADC"/>
    <w:rsid w:val="0DE325EB"/>
    <w:rsid w:val="0DF04D08"/>
    <w:rsid w:val="0E12498C"/>
    <w:rsid w:val="0E5D7F1D"/>
    <w:rsid w:val="0E8B190C"/>
    <w:rsid w:val="0ED90F04"/>
    <w:rsid w:val="0F0E7B3C"/>
    <w:rsid w:val="0F200689"/>
    <w:rsid w:val="0F3F5F47"/>
    <w:rsid w:val="0F6D467F"/>
    <w:rsid w:val="0F8676D2"/>
    <w:rsid w:val="0FCB67F8"/>
    <w:rsid w:val="100131FC"/>
    <w:rsid w:val="1009035B"/>
    <w:rsid w:val="10262C63"/>
    <w:rsid w:val="102A77A4"/>
    <w:rsid w:val="104D08F5"/>
    <w:rsid w:val="106043C7"/>
    <w:rsid w:val="107139C7"/>
    <w:rsid w:val="1073775F"/>
    <w:rsid w:val="10B32167"/>
    <w:rsid w:val="10C0629A"/>
    <w:rsid w:val="10F03760"/>
    <w:rsid w:val="10F1736F"/>
    <w:rsid w:val="11457119"/>
    <w:rsid w:val="116E041E"/>
    <w:rsid w:val="11AE2F10"/>
    <w:rsid w:val="11BC75BA"/>
    <w:rsid w:val="127F71E7"/>
    <w:rsid w:val="12A44424"/>
    <w:rsid w:val="12DA5BE3"/>
    <w:rsid w:val="12E87C52"/>
    <w:rsid w:val="13050581"/>
    <w:rsid w:val="13337B71"/>
    <w:rsid w:val="133C6496"/>
    <w:rsid w:val="137272E2"/>
    <w:rsid w:val="13DA5BD0"/>
    <w:rsid w:val="13E84B62"/>
    <w:rsid w:val="13F43E5A"/>
    <w:rsid w:val="13F66EB8"/>
    <w:rsid w:val="14671593"/>
    <w:rsid w:val="148B7538"/>
    <w:rsid w:val="149E41A6"/>
    <w:rsid w:val="14EC6D8C"/>
    <w:rsid w:val="150177FB"/>
    <w:rsid w:val="153B4ABB"/>
    <w:rsid w:val="15726B27"/>
    <w:rsid w:val="158A5A42"/>
    <w:rsid w:val="15A21AE0"/>
    <w:rsid w:val="15BE6BDB"/>
    <w:rsid w:val="15D309F9"/>
    <w:rsid w:val="15E006D8"/>
    <w:rsid w:val="15EF4BA9"/>
    <w:rsid w:val="16B86735"/>
    <w:rsid w:val="170E74D7"/>
    <w:rsid w:val="171952CF"/>
    <w:rsid w:val="17253C74"/>
    <w:rsid w:val="175068C6"/>
    <w:rsid w:val="17607688"/>
    <w:rsid w:val="17725A0F"/>
    <w:rsid w:val="17A76437"/>
    <w:rsid w:val="17EE3867"/>
    <w:rsid w:val="17F44F45"/>
    <w:rsid w:val="180663F3"/>
    <w:rsid w:val="181F2347"/>
    <w:rsid w:val="18221F62"/>
    <w:rsid w:val="187B5A11"/>
    <w:rsid w:val="188A223C"/>
    <w:rsid w:val="18993600"/>
    <w:rsid w:val="18BD1C8B"/>
    <w:rsid w:val="18CB084B"/>
    <w:rsid w:val="18D70D52"/>
    <w:rsid w:val="18D744AA"/>
    <w:rsid w:val="18E90CD1"/>
    <w:rsid w:val="191628AE"/>
    <w:rsid w:val="194223ED"/>
    <w:rsid w:val="19744A3F"/>
    <w:rsid w:val="19936A59"/>
    <w:rsid w:val="19E32A71"/>
    <w:rsid w:val="1A0C4C78"/>
    <w:rsid w:val="1A742AD7"/>
    <w:rsid w:val="1A7E4820"/>
    <w:rsid w:val="1A9A2283"/>
    <w:rsid w:val="1AF065A2"/>
    <w:rsid w:val="1AF446CC"/>
    <w:rsid w:val="1B495E35"/>
    <w:rsid w:val="1B5E7755"/>
    <w:rsid w:val="1B6805D3"/>
    <w:rsid w:val="1BA10B41"/>
    <w:rsid w:val="1BD9374C"/>
    <w:rsid w:val="1C4E1577"/>
    <w:rsid w:val="1C752FA8"/>
    <w:rsid w:val="1C7649B5"/>
    <w:rsid w:val="1CA44AD6"/>
    <w:rsid w:val="1CDD78BA"/>
    <w:rsid w:val="1CE54ECD"/>
    <w:rsid w:val="1D193B69"/>
    <w:rsid w:val="1D3A5FA0"/>
    <w:rsid w:val="1D3D5EFC"/>
    <w:rsid w:val="1D6D7027"/>
    <w:rsid w:val="1D913F18"/>
    <w:rsid w:val="1D9531D6"/>
    <w:rsid w:val="1DA82F09"/>
    <w:rsid w:val="1DEA01AE"/>
    <w:rsid w:val="1DF12B02"/>
    <w:rsid w:val="1DFB128B"/>
    <w:rsid w:val="1E022DAA"/>
    <w:rsid w:val="1E3A6A1B"/>
    <w:rsid w:val="1E9A5B27"/>
    <w:rsid w:val="1EBB78D3"/>
    <w:rsid w:val="1EC07B3D"/>
    <w:rsid w:val="1EC25D82"/>
    <w:rsid w:val="1EE00B7D"/>
    <w:rsid w:val="1EEA5BAA"/>
    <w:rsid w:val="1F2623FF"/>
    <w:rsid w:val="1F324152"/>
    <w:rsid w:val="1F590B6B"/>
    <w:rsid w:val="1F722F6B"/>
    <w:rsid w:val="1F73485A"/>
    <w:rsid w:val="1F916CEE"/>
    <w:rsid w:val="1F9D0670"/>
    <w:rsid w:val="20174376"/>
    <w:rsid w:val="201C7BDE"/>
    <w:rsid w:val="202E7E69"/>
    <w:rsid w:val="204607B7"/>
    <w:rsid w:val="20611D4C"/>
    <w:rsid w:val="208B3A33"/>
    <w:rsid w:val="20947775"/>
    <w:rsid w:val="20956AE6"/>
    <w:rsid w:val="20AA52E1"/>
    <w:rsid w:val="20BF6D59"/>
    <w:rsid w:val="20C0647E"/>
    <w:rsid w:val="2109087E"/>
    <w:rsid w:val="2120289E"/>
    <w:rsid w:val="21D06ED2"/>
    <w:rsid w:val="21D93F76"/>
    <w:rsid w:val="21EE1107"/>
    <w:rsid w:val="221F7512"/>
    <w:rsid w:val="223F6B90"/>
    <w:rsid w:val="226C09A9"/>
    <w:rsid w:val="22896F47"/>
    <w:rsid w:val="229A4BBA"/>
    <w:rsid w:val="22BD2FB3"/>
    <w:rsid w:val="22E03145"/>
    <w:rsid w:val="22E83D34"/>
    <w:rsid w:val="231C688A"/>
    <w:rsid w:val="23241284"/>
    <w:rsid w:val="23390D32"/>
    <w:rsid w:val="233D40F4"/>
    <w:rsid w:val="234E7F3E"/>
    <w:rsid w:val="23C22795"/>
    <w:rsid w:val="23DA599C"/>
    <w:rsid w:val="23FE7D27"/>
    <w:rsid w:val="24286D3C"/>
    <w:rsid w:val="24D97E4C"/>
    <w:rsid w:val="254C540B"/>
    <w:rsid w:val="25A07117"/>
    <w:rsid w:val="25A324D3"/>
    <w:rsid w:val="25BA7C7E"/>
    <w:rsid w:val="25CA1F5F"/>
    <w:rsid w:val="25F200C2"/>
    <w:rsid w:val="261F3F85"/>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A46AA7"/>
    <w:rsid w:val="28D157D8"/>
    <w:rsid w:val="28F257E0"/>
    <w:rsid w:val="292829E1"/>
    <w:rsid w:val="29312005"/>
    <w:rsid w:val="2934480C"/>
    <w:rsid w:val="29385A89"/>
    <w:rsid w:val="29E50878"/>
    <w:rsid w:val="2A033AA8"/>
    <w:rsid w:val="2A117C36"/>
    <w:rsid w:val="2A2B5785"/>
    <w:rsid w:val="2A7523C5"/>
    <w:rsid w:val="2AB41AE4"/>
    <w:rsid w:val="2AC92AB1"/>
    <w:rsid w:val="2AF32BED"/>
    <w:rsid w:val="2B0B2D29"/>
    <w:rsid w:val="2B160321"/>
    <w:rsid w:val="2B1F26B9"/>
    <w:rsid w:val="2B657A40"/>
    <w:rsid w:val="2BCE6B2E"/>
    <w:rsid w:val="2C372028"/>
    <w:rsid w:val="2C504749"/>
    <w:rsid w:val="2C8E776E"/>
    <w:rsid w:val="2CA156F3"/>
    <w:rsid w:val="2CA62D0A"/>
    <w:rsid w:val="2CDC672B"/>
    <w:rsid w:val="2D502A87"/>
    <w:rsid w:val="2D80355B"/>
    <w:rsid w:val="2DB84A2E"/>
    <w:rsid w:val="2DF47AA5"/>
    <w:rsid w:val="2E56405D"/>
    <w:rsid w:val="2E9279E9"/>
    <w:rsid w:val="2EF67253"/>
    <w:rsid w:val="2F1D5375"/>
    <w:rsid w:val="2F2820FC"/>
    <w:rsid w:val="2F46273A"/>
    <w:rsid w:val="2F797EF0"/>
    <w:rsid w:val="2FAC377D"/>
    <w:rsid w:val="2FDB0F1C"/>
    <w:rsid w:val="2FE74699"/>
    <w:rsid w:val="300466C5"/>
    <w:rsid w:val="30074742"/>
    <w:rsid w:val="302F63AF"/>
    <w:rsid w:val="3053500C"/>
    <w:rsid w:val="30574B5E"/>
    <w:rsid w:val="30591D58"/>
    <w:rsid w:val="305922A1"/>
    <w:rsid w:val="310B1AE3"/>
    <w:rsid w:val="310C2028"/>
    <w:rsid w:val="311E5564"/>
    <w:rsid w:val="312E28B0"/>
    <w:rsid w:val="313166EA"/>
    <w:rsid w:val="313E5C07"/>
    <w:rsid w:val="314C75A8"/>
    <w:rsid w:val="314D1DB4"/>
    <w:rsid w:val="315C42DF"/>
    <w:rsid w:val="319D5A1B"/>
    <w:rsid w:val="31C83722"/>
    <w:rsid w:val="31D42501"/>
    <w:rsid w:val="32576C40"/>
    <w:rsid w:val="32745CC9"/>
    <w:rsid w:val="3275396A"/>
    <w:rsid w:val="327D629C"/>
    <w:rsid w:val="328F5274"/>
    <w:rsid w:val="32A47226"/>
    <w:rsid w:val="32EB76C8"/>
    <w:rsid w:val="337C7E99"/>
    <w:rsid w:val="340053F5"/>
    <w:rsid w:val="341D48CD"/>
    <w:rsid w:val="34AC75B5"/>
    <w:rsid w:val="34EA39B0"/>
    <w:rsid w:val="34F658FC"/>
    <w:rsid w:val="350104CB"/>
    <w:rsid w:val="35063F6F"/>
    <w:rsid w:val="351078BA"/>
    <w:rsid w:val="355715BA"/>
    <w:rsid w:val="35AE2C2F"/>
    <w:rsid w:val="35B5088A"/>
    <w:rsid w:val="35DC2769"/>
    <w:rsid w:val="366B5D76"/>
    <w:rsid w:val="366C0B20"/>
    <w:rsid w:val="36886956"/>
    <w:rsid w:val="36A91D74"/>
    <w:rsid w:val="36BE0C09"/>
    <w:rsid w:val="36E94EEA"/>
    <w:rsid w:val="372E2279"/>
    <w:rsid w:val="37337890"/>
    <w:rsid w:val="377C2FE5"/>
    <w:rsid w:val="37BD5DE4"/>
    <w:rsid w:val="37C8622A"/>
    <w:rsid w:val="38003C16"/>
    <w:rsid w:val="387A4050"/>
    <w:rsid w:val="389D4EC8"/>
    <w:rsid w:val="38BE73AD"/>
    <w:rsid w:val="38DE55D9"/>
    <w:rsid w:val="38FD63A7"/>
    <w:rsid w:val="390359AF"/>
    <w:rsid w:val="390C2146"/>
    <w:rsid w:val="395D6A88"/>
    <w:rsid w:val="399860D0"/>
    <w:rsid w:val="39BC17B5"/>
    <w:rsid w:val="39BD0ABB"/>
    <w:rsid w:val="3A766411"/>
    <w:rsid w:val="3AC12B89"/>
    <w:rsid w:val="3B165E8B"/>
    <w:rsid w:val="3B2A71FC"/>
    <w:rsid w:val="3B2E2731"/>
    <w:rsid w:val="3BA6683D"/>
    <w:rsid w:val="3BD80F4A"/>
    <w:rsid w:val="3BE86E9B"/>
    <w:rsid w:val="3C320116"/>
    <w:rsid w:val="3C4165AB"/>
    <w:rsid w:val="3C477FDF"/>
    <w:rsid w:val="3CAF5C0A"/>
    <w:rsid w:val="3CB2688C"/>
    <w:rsid w:val="3CBE7BFC"/>
    <w:rsid w:val="3CC47B27"/>
    <w:rsid w:val="3D1912D6"/>
    <w:rsid w:val="3D240E56"/>
    <w:rsid w:val="3D65276D"/>
    <w:rsid w:val="3D6C58AA"/>
    <w:rsid w:val="3D795952"/>
    <w:rsid w:val="3DBA4867"/>
    <w:rsid w:val="3DC2196D"/>
    <w:rsid w:val="3DC456E6"/>
    <w:rsid w:val="3DCC459A"/>
    <w:rsid w:val="3DCF6C3A"/>
    <w:rsid w:val="3DEF68F3"/>
    <w:rsid w:val="3E2B7513"/>
    <w:rsid w:val="3E5B55FF"/>
    <w:rsid w:val="3E9A01F4"/>
    <w:rsid w:val="3EA51073"/>
    <w:rsid w:val="3EBC460F"/>
    <w:rsid w:val="3EBD448A"/>
    <w:rsid w:val="3EF47905"/>
    <w:rsid w:val="3F6727CC"/>
    <w:rsid w:val="3F6A406B"/>
    <w:rsid w:val="3FC92B3F"/>
    <w:rsid w:val="3FE608CA"/>
    <w:rsid w:val="400B354F"/>
    <w:rsid w:val="408B40C4"/>
    <w:rsid w:val="40956EC5"/>
    <w:rsid w:val="409C2FD7"/>
    <w:rsid w:val="40B557B9"/>
    <w:rsid w:val="40BD0211"/>
    <w:rsid w:val="40D76533"/>
    <w:rsid w:val="40F26442"/>
    <w:rsid w:val="41341DAE"/>
    <w:rsid w:val="414740C1"/>
    <w:rsid w:val="41DB2FFE"/>
    <w:rsid w:val="41ED2DD1"/>
    <w:rsid w:val="41F011EA"/>
    <w:rsid w:val="42234DB8"/>
    <w:rsid w:val="42364C3F"/>
    <w:rsid w:val="424B0183"/>
    <w:rsid w:val="426E79CE"/>
    <w:rsid w:val="42770F78"/>
    <w:rsid w:val="428600CC"/>
    <w:rsid w:val="43035AFF"/>
    <w:rsid w:val="43776D56"/>
    <w:rsid w:val="439B7623"/>
    <w:rsid w:val="43AD7365"/>
    <w:rsid w:val="43C7383A"/>
    <w:rsid w:val="43E23FB0"/>
    <w:rsid w:val="43E724A1"/>
    <w:rsid w:val="447C0AC8"/>
    <w:rsid w:val="44AD2D0E"/>
    <w:rsid w:val="4524745B"/>
    <w:rsid w:val="45401AF6"/>
    <w:rsid w:val="456B00B0"/>
    <w:rsid w:val="456E3CAB"/>
    <w:rsid w:val="45B63B66"/>
    <w:rsid w:val="463F73DD"/>
    <w:rsid w:val="469F59FD"/>
    <w:rsid w:val="46B6036F"/>
    <w:rsid w:val="470022E3"/>
    <w:rsid w:val="47137FAD"/>
    <w:rsid w:val="47462594"/>
    <w:rsid w:val="477E6836"/>
    <w:rsid w:val="47AF4D11"/>
    <w:rsid w:val="47B95C25"/>
    <w:rsid w:val="47E524E0"/>
    <w:rsid w:val="480155F8"/>
    <w:rsid w:val="48223D6A"/>
    <w:rsid w:val="482411BB"/>
    <w:rsid w:val="482F7BFF"/>
    <w:rsid w:val="48330FF5"/>
    <w:rsid w:val="48485C7B"/>
    <w:rsid w:val="489B7043"/>
    <w:rsid w:val="48BE725C"/>
    <w:rsid w:val="490746D8"/>
    <w:rsid w:val="492C413F"/>
    <w:rsid w:val="49301E81"/>
    <w:rsid w:val="49AD5280"/>
    <w:rsid w:val="49AF724A"/>
    <w:rsid w:val="49CD7BC0"/>
    <w:rsid w:val="49E8450A"/>
    <w:rsid w:val="4A086647"/>
    <w:rsid w:val="4A1C497C"/>
    <w:rsid w:val="4A24724C"/>
    <w:rsid w:val="4A4413FA"/>
    <w:rsid w:val="4A5E2BCE"/>
    <w:rsid w:val="4A673681"/>
    <w:rsid w:val="4A745350"/>
    <w:rsid w:val="4A963F66"/>
    <w:rsid w:val="4A9F64A4"/>
    <w:rsid w:val="4AB41401"/>
    <w:rsid w:val="4ABD14F2"/>
    <w:rsid w:val="4AE273B5"/>
    <w:rsid w:val="4AFD65E6"/>
    <w:rsid w:val="4B317447"/>
    <w:rsid w:val="4BD16D6F"/>
    <w:rsid w:val="4C1B188F"/>
    <w:rsid w:val="4C1E4213"/>
    <w:rsid w:val="4C2A2BB8"/>
    <w:rsid w:val="4C604940"/>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13256"/>
    <w:rsid w:val="4F052DD3"/>
    <w:rsid w:val="4F545330"/>
    <w:rsid w:val="4F6208BA"/>
    <w:rsid w:val="4FB36F4D"/>
    <w:rsid w:val="4FD72A17"/>
    <w:rsid w:val="4FF05EC6"/>
    <w:rsid w:val="4FF516AB"/>
    <w:rsid w:val="5001570E"/>
    <w:rsid w:val="5014036D"/>
    <w:rsid w:val="50533344"/>
    <w:rsid w:val="50CF39BA"/>
    <w:rsid w:val="50F32112"/>
    <w:rsid w:val="51275918"/>
    <w:rsid w:val="514504A5"/>
    <w:rsid w:val="51984A67"/>
    <w:rsid w:val="51A14C77"/>
    <w:rsid w:val="51E70382"/>
    <w:rsid w:val="51F36142"/>
    <w:rsid w:val="51FF5C0A"/>
    <w:rsid w:val="52140592"/>
    <w:rsid w:val="521A7931"/>
    <w:rsid w:val="52750905"/>
    <w:rsid w:val="52846D9A"/>
    <w:rsid w:val="52CF22A3"/>
    <w:rsid w:val="52DF7F41"/>
    <w:rsid w:val="532A1B10"/>
    <w:rsid w:val="53397AFF"/>
    <w:rsid w:val="534D3630"/>
    <w:rsid w:val="53560736"/>
    <w:rsid w:val="53983C21"/>
    <w:rsid w:val="53A01BDF"/>
    <w:rsid w:val="53D03945"/>
    <w:rsid w:val="53DC21B7"/>
    <w:rsid w:val="53FA78A2"/>
    <w:rsid w:val="54330A77"/>
    <w:rsid w:val="54332825"/>
    <w:rsid w:val="54495CED"/>
    <w:rsid w:val="54646E83"/>
    <w:rsid w:val="54CB231F"/>
    <w:rsid w:val="54D758A7"/>
    <w:rsid w:val="5536313D"/>
    <w:rsid w:val="555E4ACC"/>
    <w:rsid w:val="55740989"/>
    <w:rsid w:val="559F4DF3"/>
    <w:rsid w:val="55A90E0A"/>
    <w:rsid w:val="55AD24D9"/>
    <w:rsid w:val="55BD414F"/>
    <w:rsid w:val="55DF7D6B"/>
    <w:rsid w:val="55ED5485"/>
    <w:rsid w:val="56210714"/>
    <w:rsid w:val="567C476A"/>
    <w:rsid w:val="56A70915"/>
    <w:rsid w:val="56B06EAC"/>
    <w:rsid w:val="56D258CB"/>
    <w:rsid w:val="56E27131"/>
    <w:rsid w:val="56E66275"/>
    <w:rsid w:val="572F7421"/>
    <w:rsid w:val="574F5BC8"/>
    <w:rsid w:val="5752413A"/>
    <w:rsid w:val="576478AA"/>
    <w:rsid w:val="57CC2034"/>
    <w:rsid w:val="57E97DCB"/>
    <w:rsid w:val="57EC11A7"/>
    <w:rsid w:val="5805272B"/>
    <w:rsid w:val="5886561A"/>
    <w:rsid w:val="588C4381"/>
    <w:rsid w:val="589C2631"/>
    <w:rsid w:val="58DC22C2"/>
    <w:rsid w:val="59291D77"/>
    <w:rsid w:val="593432C8"/>
    <w:rsid w:val="59446D5D"/>
    <w:rsid w:val="5947124D"/>
    <w:rsid w:val="59764C7A"/>
    <w:rsid w:val="59927068"/>
    <w:rsid w:val="59B937CD"/>
    <w:rsid w:val="59BA387E"/>
    <w:rsid w:val="59C615CC"/>
    <w:rsid w:val="59F91E6F"/>
    <w:rsid w:val="5A252C10"/>
    <w:rsid w:val="5A2C21F1"/>
    <w:rsid w:val="5A437A4E"/>
    <w:rsid w:val="5A452140"/>
    <w:rsid w:val="5ABD6482"/>
    <w:rsid w:val="5AE527C3"/>
    <w:rsid w:val="5B2353A2"/>
    <w:rsid w:val="5B4C29D7"/>
    <w:rsid w:val="5B523ED9"/>
    <w:rsid w:val="5B6828DA"/>
    <w:rsid w:val="5BB1506D"/>
    <w:rsid w:val="5BB95D06"/>
    <w:rsid w:val="5BCB4115"/>
    <w:rsid w:val="5BD7192C"/>
    <w:rsid w:val="5BDC37A3"/>
    <w:rsid w:val="5C031F8B"/>
    <w:rsid w:val="5C3D3CF2"/>
    <w:rsid w:val="5C8A441E"/>
    <w:rsid w:val="5CBA1D36"/>
    <w:rsid w:val="5CC75893"/>
    <w:rsid w:val="5CC9196A"/>
    <w:rsid w:val="5CF002C9"/>
    <w:rsid w:val="5D072AA1"/>
    <w:rsid w:val="5D5932FD"/>
    <w:rsid w:val="5D6930FC"/>
    <w:rsid w:val="5D7A14C5"/>
    <w:rsid w:val="5D90130D"/>
    <w:rsid w:val="5DBB5A53"/>
    <w:rsid w:val="5DEE5CAC"/>
    <w:rsid w:val="5DFE3B93"/>
    <w:rsid w:val="5E062D59"/>
    <w:rsid w:val="5E383534"/>
    <w:rsid w:val="5E3C1A17"/>
    <w:rsid w:val="5E530F10"/>
    <w:rsid w:val="5E560047"/>
    <w:rsid w:val="5E5D19EC"/>
    <w:rsid w:val="5EB530CD"/>
    <w:rsid w:val="5F185F45"/>
    <w:rsid w:val="5F2C54A2"/>
    <w:rsid w:val="5F385194"/>
    <w:rsid w:val="5F39580D"/>
    <w:rsid w:val="5F474FB3"/>
    <w:rsid w:val="5F5648F2"/>
    <w:rsid w:val="5F5F3613"/>
    <w:rsid w:val="5F5F7BA3"/>
    <w:rsid w:val="5F827557"/>
    <w:rsid w:val="5F8E279F"/>
    <w:rsid w:val="5FE1582B"/>
    <w:rsid w:val="5FEC4064"/>
    <w:rsid w:val="5FF732A1"/>
    <w:rsid w:val="60123C37"/>
    <w:rsid w:val="60434687"/>
    <w:rsid w:val="605E0C2A"/>
    <w:rsid w:val="60E73F53"/>
    <w:rsid w:val="61103EBC"/>
    <w:rsid w:val="613D1187"/>
    <w:rsid w:val="615D3290"/>
    <w:rsid w:val="61611924"/>
    <w:rsid w:val="61C01671"/>
    <w:rsid w:val="61C471B3"/>
    <w:rsid w:val="61D373F6"/>
    <w:rsid w:val="61E92C43"/>
    <w:rsid w:val="620728C2"/>
    <w:rsid w:val="62100639"/>
    <w:rsid w:val="62495197"/>
    <w:rsid w:val="626B1640"/>
    <w:rsid w:val="62792788"/>
    <w:rsid w:val="628E2CCB"/>
    <w:rsid w:val="629244AA"/>
    <w:rsid w:val="62FF4946"/>
    <w:rsid w:val="631A4C5C"/>
    <w:rsid w:val="638A1EE0"/>
    <w:rsid w:val="638F67EB"/>
    <w:rsid w:val="639503B6"/>
    <w:rsid w:val="63B966C1"/>
    <w:rsid w:val="63DC6A36"/>
    <w:rsid w:val="63DF6526"/>
    <w:rsid w:val="63E67F14"/>
    <w:rsid w:val="63EE7F04"/>
    <w:rsid w:val="63F962B0"/>
    <w:rsid w:val="64436636"/>
    <w:rsid w:val="64D4770D"/>
    <w:rsid w:val="65B64B78"/>
    <w:rsid w:val="65E73470"/>
    <w:rsid w:val="65F30067"/>
    <w:rsid w:val="664F4486"/>
    <w:rsid w:val="66682803"/>
    <w:rsid w:val="668766E3"/>
    <w:rsid w:val="66AC3D8D"/>
    <w:rsid w:val="66B530AB"/>
    <w:rsid w:val="66FA7CB5"/>
    <w:rsid w:val="67053083"/>
    <w:rsid w:val="67144817"/>
    <w:rsid w:val="672D610D"/>
    <w:rsid w:val="67561729"/>
    <w:rsid w:val="678673E4"/>
    <w:rsid w:val="6798754B"/>
    <w:rsid w:val="67AC5092"/>
    <w:rsid w:val="67AE06E9"/>
    <w:rsid w:val="67C63C85"/>
    <w:rsid w:val="67CB72D1"/>
    <w:rsid w:val="67D428E6"/>
    <w:rsid w:val="67E174D3"/>
    <w:rsid w:val="682A3FC0"/>
    <w:rsid w:val="68352BB8"/>
    <w:rsid w:val="683E3EC9"/>
    <w:rsid w:val="684150B9"/>
    <w:rsid w:val="687E455F"/>
    <w:rsid w:val="68877BA4"/>
    <w:rsid w:val="6894144F"/>
    <w:rsid w:val="68BC56D1"/>
    <w:rsid w:val="69333FB5"/>
    <w:rsid w:val="69353D51"/>
    <w:rsid w:val="69382960"/>
    <w:rsid w:val="6953094D"/>
    <w:rsid w:val="695D5F23"/>
    <w:rsid w:val="69635503"/>
    <w:rsid w:val="6A342CEE"/>
    <w:rsid w:val="6A9940C2"/>
    <w:rsid w:val="6B2A16AA"/>
    <w:rsid w:val="6B4D0219"/>
    <w:rsid w:val="6B88317F"/>
    <w:rsid w:val="6B891F75"/>
    <w:rsid w:val="6B964BDF"/>
    <w:rsid w:val="6BCF2DA3"/>
    <w:rsid w:val="6BD821D8"/>
    <w:rsid w:val="6BDA2EE8"/>
    <w:rsid w:val="6C77379F"/>
    <w:rsid w:val="6C9D6503"/>
    <w:rsid w:val="6CA84085"/>
    <w:rsid w:val="6CEF2B97"/>
    <w:rsid w:val="6CF7232E"/>
    <w:rsid w:val="6CFF7EE3"/>
    <w:rsid w:val="6D0B6EA3"/>
    <w:rsid w:val="6D400035"/>
    <w:rsid w:val="6D576CCC"/>
    <w:rsid w:val="6D626ECA"/>
    <w:rsid w:val="6D7254F9"/>
    <w:rsid w:val="6D925501"/>
    <w:rsid w:val="6DA07690"/>
    <w:rsid w:val="6DA5433C"/>
    <w:rsid w:val="6DC24EEE"/>
    <w:rsid w:val="6E134B86"/>
    <w:rsid w:val="6E1C61E3"/>
    <w:rsid w:val="6E65328C"/>
    <w:rsid w:val="6E81241B"/>
    <w:rsid w:val="6EBF2AFA"/>
    <w:rsid w:val="6EC371B1"/>
    <w:rsid w:val="6FFA0308"/>
    <w:rsid w:val="700215D2"/>
    <w:rsid w:val="700D7F77"/>
    <w:rsid w:val="702325F6"/>
    <w:rsid w:val="706E6215"/>
    <w:rsid w:val="70A35EB4"/>
    <w:rsid w:val="70B054D2"/>
    <w:rsid w:val="70BB5BCA"/>
    <w:rsid w:val="70C546A6"/>
    <w:rsid w:val="70C637CD"/>
    <w:rsid w:val="70C8281B"/>
    <w:rsid w:val="70E27500"/>
    <w:rsid w:val="70ED5141"/>
    <w:rsid w:val="70EF72CE"/>
    <w:rsid w:val="71066269"/>
    <w:rsid w:val="712E7A01"/>
    <w:rsid w:val="71381023"/>
    <w:rsid w:val="713F2198"/>
    <w:rsid w:val="71501229"/>
    <w:rsid w:val="715F3A5E"/>
    <w:rsid w:val="71AF3801"/>
    <w:rsid w:val="71D425C9"/>
    <w:rsid w:val="71DC5E53"/>
    <w:rsid w:val="71F66F14"/>
    <w:rsid w:val="71FB277D"/>
    <w:rsid w:val="7221445D"/>
    <w:rsid w:val="728704B4"/>
    <w:rsid w:val="729C5BA7"/>
    <w:rsid w:val="72AC1CC9"/>
    <w:rsid w:val="72C273CB"/>
    <w:rsid w:val="72C830E4"/>
    <w:rsid w:val="72CE1C3F"/>
    <w:rsid w:val="72F26AF2"/>
    <w:rsid w:val="734B0FCB"/>
    <w:rsid w:val="734F0FD2"/>
    <w:rsid w:val="73912503"/>
    <w:rsid w:val="73BE7F06"/>
    <w:rsid w:val="73D1770F"/>
    <w:rsid w:val="73DF7C9D"/>
    <w:rsid w:val="73E421C1"/>
    <w:rsid w:val="745B39A7"/>
    <w:rsid w:val="74820F33"/>
    <w:rsid w:val="74A532B9"/>
    <w:rsid w:val="74BB61F3"/>
    <w:rsid w:val="7546335C"/>
    <w:rsid w:val="754C7725"/>
    <w:rsid w:val="755B206F"/>
    <w:rsid w:val="7561323F"/>
    <w:rsid w:val="75CB4B5C"/>
    <w:rsid w:val="75FF22C4"/>
    <w:rsid w:val="760616F0"/>
    <w:rsid w:val="761539E6"/>
    <w:rsid w:val="763654E3"/>
    <w:rsid w:val="766075D5"/>
    <w:rsid w:val="76926AB2"/>
    <w:rsid w:val="76C45833"/>
    <w:rsid w:val="77147E3D"/>
    <w:rsid w:val="7726029C"/>
    <w:rsid w:val="77993553"/>
    <w:rsid w:val="77A85155"/>
    <w:rsid w:val="780E4529"/>
    <w:rsid w:val="78262114"/>
    <w:rsid w:val="78456286"/>
    <w:rsid w:val="78744FA7"/>
    <w:rsid w:val="78FB1B65"/>
    <w:rsid w:val="793F5A1E"/>
    <w:rsid w:val="79E248CF"/>
    <w:rsid w:val="7A344455"/>
    <w:rsid w:val="7A6A5C9C"/>
    <w:rsid w:val="7A833691"/>
    <w:rsid w:val="7ADF192F"/>
    <w:rsid w:val="7AE85868"/>
    <w:rsid w:val="7B006D5B"/>
    <w:rsid w:val="7B524216"/>
    <w:rsid w:val="7B980B3C"/>
    <w:rsid w:val="7BA25D4A"/>
    <w:rsid w:val="7C044924"/>
    <w:rsid w:val="7C4411C4"/>
    <w:rsid w:val="7C560516"/>
    <w:rsid w:val="7C8818BC"/>
    <w:rsid w:val="7CA01071"/>
    <w:rsid w:val="7CA852AF"/>
    <w:rsid w:val="7CAA1487"/>
    <w:rsid w:val="7CAD11C8"/>
    <w:rsid w:val="7CB425C4"/>
    <w:rsid w:val="7CBD616F"/>
    <w:rsid w:val="7D2D00A5"/>
    <w:rsid w:val="7D366426"/>
    <w:rsid w:val="7D4E22FA"/>
    <w:rsid w:val="7D5316BF"/>
    <w:rsid w:val="7D711B45"/>
    <w:rsid w:val="7DBB3EE8"/>
    <w:rsid w:val="7DC73E5B"/>
    <w:rsid w:val="7DE93DD1"/>
    <w:rsid w:val="7E064E08"/>
    <w:rsid w:val="7E2968C4"/>
    <w:rsid w:val="7E2C2D00"/>
    <w:rsid w:val="7E335F99"/>
    <w:rsid w:val="7E3A3C0C"/>
    <w:rsid w:val="7E810C7B"/>
    <w:rsid w:val="7E9957F7"/>
    <w:rsid w:val="7EB45760"/>
    <w:rsid w:val="7EE051D4"/>
    <w:rsid w:val="7EEC258F"/>
    <w:rsid w:val="7FA46248"/>
    <w:rsid w:val="7FBA3C77"/>
    <w:rsid w:val="7FCF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autoRedefine/>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Document Map"/>
    <w:basedOn w:val="1"/>
    <w:link w:val="48"/>
    <w:autoRedefine/>
    <w:qFormat/>
    <w:uiPriority w:val="0"/>
    <w:pPr>
      <w:shd w:val="clear" w:color="auto" w:fill="000080"/>
    </w:pPr>
    <w:rPr>
      <w:kern w:val="0"/>
      <w:sz w:val="20"/>
      <w:shd w:val="clear" w:color="auto" w:fill="000080"/>
    </w:rPr>
  </w:style>
  <w:style w:type="paragraph" w:styleId="13">
    <w:name w:val="annotation text"/>
    <w:basedOn w:val="1"/>
    <w:link w:val="49"/>
    <w:autoRedefine/>
    <w:qFormat/>
    <w:uiPriority w:val="0"/>
    <w:pPr>
      <w:jc w:val="left"/>
    </w:pPr>
  </w:style>
  <w:style w:type="paragraph" w:styleId="14">
    <w:name w:val="Body Text"/>
    <w:basedOn w:val="1"/>
    <w:next w:val="15"/>
    <w:link w:val="50"/>
    <w:autoRedefine/>
    <w:qFormat/>
    <w:uiPriority w:val="0"/>
    <w:pPr>
      <w:spacing w:after="120"/>
    </w:pPr>
    <w:rPr>
      <w:rFonts w:ascii="宋体"/>
      <w:sz w:val="28"/>
      <w:szCs w:val="20"/>
    </w:rPr>
  </w:style>
  <w:style w:type="paragraph" w:styleId="15">
    <w:name w:val="Body Text First Indent"/>
    <w:basedOn w:val="14"/>
    <w:next w:val="16"/>
    <w:autoRedefine/>
    <w:qFormat/>
    <w:uiPriority w:val="0"/>
    <w:pPr>
      <w:tabs>
        <w:tab w:val="left" w:pos="9360"/>
      </w:tabs>
      <w:adjustRightInd/>
      <w:ind w:firstLine="420" w:firstLineChars="100"/>
    </w:pPr>
    <w:rPr>
      <w:sz w:val="21"/>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Body Text Indent"/>
    <w:basedOn w:val="1"/>
    <w:autoRedefine/>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51"/>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52"/>
    <w:autoRedefine/>
    <w:qFormat/>
    <w:uiPriority w:val="0"/>
    <w:pPr>
      <w:tabs>
        <w:tab w:val="center" w:pos="4153"/>
        <w:tab w:val="right" w:pos="8306"/>
      </w:tabs>
      <w:snapToGrid w:val="0"/>
      <w:jc w:val="left"/>
    </w:pPr>
    <w:rPr>
      <w:sz w:val="18"/>
      <w:szCs w:val="18"/>
    </w:rPr>
  </w:style>
  <w:style w:type="paragraph" w:styleId="25">
    <w:name w:val="header"/>
    <w:basedOn w:val="1"/>
    <w:link w:val="5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5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autoRedefine/>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styleId="38">
    <w:name w:val="annotation reference"/>
    <w:basedOn w:val="34"/>
    <w:autoRedefine/>
    <w:semiHidden/>
    <w:qFormat/>
    <w:uiPriority w:val="0"/>
    <w:rPr>
      <w:sz w:val="21"/>
      <w:szCs w:val="21"/>
    </w:rPr>
  </w:style>
  <w:style w:type="character" w:customStyle="1" w:styleId="39">
    <w:name w:val="标题 1 Char"/>
    <w:link w:val="3"/>
    <w:autoRedefine/>
    <w:qFormat/>
    <w:uiPriority w:val="0"/>
    <w:rPr>
      <w:rFonts w:eastAsia="宋体"/>
      <w:b/>
      <w:bCs/>
      <w:kern w:val="44"/>
      <w:sz w:val="44"/>
      <w:szCs w:val="44"/>
      <w:lang w:val="en-US" w:eastAsia="zh-CN" w:bidi="ar-SA"/>
    </w:rPr>
  </w:style>
  <w:style w:type="character" w:customStyle="1" w:styleId="40">
    <w:name w:val="标题 2 Char"/>
    <w:link w:val="4"/>
    <w:autoRedefine/>
    <w:qFormat/>
    <w:uiPriority w:val="0"/>
    <w:rPr>
      <w:rFonts w:ascii="Cambria" w:hAnsi="Cambria" w:eastAsia="宋体"/>
      <w:b/>
      <w:bCs/>
      <w:kern w:val="2"/>
      <w:sz w:val="32"/>
      <w:szCs w:val="32"/>
      <w:lang w:val="en-US" w:eastAsia="zh-CN" w:bidi="ar-SA"/>
    </w:rPr>
  </w:style>
  <w:style w:type="character" w:customStyle="1" w:styleId="41">
    <w:name w:val="标题 3 Char"/>
    <w:link w:val="5"/>
    <w:autoRedefine/>
    <w:qFormat/>
    <w:uiPriority w:val="0"/>
    <w:rPr>
      <w:rFonts w:ascii="Calibri" w:hAnsi="Calibri" w:eastAsia="宋体"/>
      <w:b/>
      <w:bCs/>
      <w:kern w:val="2"/>
      <w:sz w:val="32"/>
      <w:szCs w:val="32"/>
      <w:lang w:val="en-US" w:eastAsia="zh-CN" w:bidi="ar-SA"/>
    </w:rPr>
  </w:style>
  <w:style w:type="character" w:customStyle="1" w:styleId="42">
    <w:name w:val="标题 4 Char"/>
    <w:link w:val="6"/>
    <w:autoRedefine/>
    <w:qFormat/>
    <w:uiPriority w:val="0"/>
    <w:rPr>
      <w:rFonts w:ascii="Cambria" w:hAnsi="Cambria" w:eastAsia="宋体"/>
      <w:b/>
      <w:bCs/>
      <w:kern w:val="2"/>
      <w:sz w:val="28"/>
      <w:szCs w:val="28"/>
      <w:lang w:val="en-US" w:eastAsia="zh-CN" w:bidi="ar-SA"/>
    </w:rPr>
  </w:style>
  <w:style w:type="character" w:customStyle="1" w:styleId="43">
    <w:name w:val="标题 5 Char"/>
    <w:link w:val="7"/>
    <w:autoRedefine/>
    <w:qFormat/>
    <w:uiPriority w:val="0"/>
    <w:rPr>
      <w:rFonts w:ascii="Calibri" w:hAnsi="Calibri" w:eastAsia="宋体"/>
      <w:b/>
      <w:bCs/>
      <w:kern w:val="2"/>
      <w:sz w:val="28"/>
      <w:szCs w:val="28"/>
      <w:lang w:val="en-US" w:eastAsia="zh-CN" w:bidi="ar-SA"/>
    </w:rPr>
  </w:style>
  <w:style w:type="character" w:customStyle="1" w:styleId="44">
    <w:name w:val="标题 6 Char"/>
    <w:link w:val="8"/>
    <w:autoRedefine/>
    <w:qFormat/>
    <w:uiPriority w:val="0"/>
    <w:rPr>
      <w:rFonts w:ascii="Cambria" w:hAnsi="Cambria" w:eastAsia="宋体"/>
      <w:b/>
      <w:bCs/>
      <w:kern w:val="2"/>
      <w:sz w:val="24"/>
      <w:szCs w:val="24"/>
      <w:lang w:val="en-US" w:eastAsia="zh-CN" w:bidi="ar-SA"/>
    </w:rPr>
  </w:style>
  <w:style w:type="character" w:customStyle="1" w:styleId="45">
    <w:name w:val="标题 7 Char"/>
    <w:link w:val="9"/>
    <w:autoRedefine/>
    <w:qFormat/>
    <w:uiPriority w:val="0"/>
    <w:rPr>
      <w:rFonts w:ascii="Calibri" w:hAnsi="Calibri" w:eastAsia="宋体"/>
      <w:b/>
      <w:bCs/>
      <w:kern w:val="2"/>
      <w:sz w:val="24"/>
      <w:szCs w:val="24"/>
      <w:lang w:val="en-US" w:eastAsia="zh-CN" w:bidi="ar-SA"/>
    </w:rPr>
  </w:style>
  <w:style w:type="character" w:customStyle="1" w:styleId="46">
    <w:name w:val="标题 8 Char"/>
    <w:link w:val="10"/>
    <w:autoRedefine/>
    <w:qFormat/>
    <w:uiPriority w:val="0"/>
    <w:rPr>
      <w:rFonts w:ascii="Cambria" w:hAnsi="Cambria" w:eastAsia="宋体"/>
      <w:kern w:val="2"/>
      <w:sz w:val="24"/>
      <w:szCs w:val="24"/>
      <w:lang w:val="en-US" w:eastAsia="zh-CN" w:bidi="ar-SA"/>
    </w:rPr>
  </w:style>
  <w:style w:type="character" w:customStyle="1" w:styleId="47">
    <w:name w:val="标题 9 Char"/>
    <w:link w:val="11"/>
    <w:autoRedefine/>
    <w:qFormat/>
    <w:uiPriority w:val="0"/>
    <w:rPr>
      <w:rFonts w:ascii="Cambria" w:hAnsi="Cambria" w:eastAsia="宋体"/>
      <w:kern w:val="2"/>
      <w:sz w:val="21"/>
      <w:szCs w:val="21"/>
      <w:lang w:val="en-US" w:eastAsia="zh-CN" w:bidi="ar-SA"/>
    </w:rPr>
  </w:style>
  <w:style w:type="character" w:customStyle="1" w:styleId="48">
    <w:name w:val="文档结构图 Char"/>
    <w:link w:val="12"/>
    <w:autoRedefine/>
    <w:qFormat/>
    <w:uiPriority w:val="0"/>
    <w:rPr>
      <w:szCs w:val="24"/>
      <w:shd w:val="clear" w:color="auto" w:fill="000080"/>
      <w:lang w:bidi="ar-SA"/>
    </w:rPr>
  </w:style>
  <w:style w:type="character" w:customStyle="1" w:styleId="49">
    <w:name w:val="批注文字 Char"/>
    <w:link w:val="13"/>
    <w:autoRedefine/>
    <w:qFormat/>
    <w:uiPriority w:val="0"/>
    <w:rPr>
      <w:rFonts w:eastAsia="宋体"/>
      <w:kern w:val="2"/>
      <w:sz w:val="21"/>
      <w:szCs w:val="24"/>
      <w:lang w:val="en-US" w:eastAsia="zh-CN" w:bidi="ar-SA"/>
    </w:rPr>
  </w:style>
  <w:style w:type="character" w:customStyle="1" w:styleId="50">
    <w:name w:val="正文文本 Char"/>
    <w:link w:val="14"/>
    <w:autoRedefine/>
    <w:qFormat/>
    <w:uiPriority w:val="0"/>
    <w:rPr>
      <w:rFonts w:ascii="宋体" w:eastAsia="宋体"/>
      <w:kern w:val="2"/>
      <w:sz w:val="28"/>
      <w:lang w:val="en-US" w:eastAsia="zh-CN" w:bidi="ar-SA"/>
    </w:rPr>
  </w:style>
  <w:style w:type="character" w:customStyle="1" w:styleId="5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52">
    <w:name w:val="页脚 Char"/>
    <w:link w:val="24"/>
    <w:autoRedefine/>
    <w:qFormat/>
    <w:uiPriority w:val="0"/>
    <w:rPr>
      <w:rFonts w:eastAsia="宋体"/>
      <w:kern w:val="2"/>
      <w:sz w:val="18"/>
      <w:szCs w:val="18"/>
      <w:lang w:val="en-US" w:eastAsia="zh-CN" w:bidi="ar-SA"/>
    </w:rPr>
  </w:style>
  <w:style w:type="character" w:customStyle="1" w:styleId="53">
    <w:name w:val="页眉 Char"/>
    <w:link w:val="25"/>
    <w:autoRedefine/>
    <w:qFormat/>
    <w:uiPriority w:val="0"/>
    <w:rPr>
      <w:rFonts w:eastAsia="宋体"/>
      <w:kern w:val="2"/>
      <w:sz w:val="18"/>
      <w:szCs w:val="18"/>
      <w:lang w:val="en-US" w:eastAsia="zh-CN" w:bidi="ar-SA"/>
    </w:rPr>
  </w:style>
  <w:style w:type="character" w:customStyle="1" w:styleId="54">
    <w:name w:val="副标题 Char"/>
    <w:link w:val="26"/>
    <w:autoRedefine/>
    <w:qFormat/>
    <w:uiPriority w:val="0"/>
    <w:rPr>
      <w:rFonts w:ascii="Cambria" w:hAnsi="Cambria"/>
      <w:b/>
      <w:bCs/>
      <w:kern w:val="28"/>
      <w:sz w:val="32"/>
      <w:szCs w:val="32"/>
      <w:lang w:bidi="ar-SA"/>
    </w:rPr>
  </w:style>
  <w:style w:type="character" w:customStyle="1" w:styleId="55">
    <w:name w:val="普通(网站) Char"/>
    <w:link w:val="29"/>
    <w:autoRedefine/>
    <w:qFormat/>
    <w:uiPriority w:val="0"/>
    <w:rPr>
      <w:rFonts w:ascii="宋体" w:hAnsi="宋体" w:eastAsia="宋体"/>
      <w:color w:val="000000"/>
      <w:sz w:val="24"/>
      <w:szCs w:val="24"/>
      <w:lang w:val="en-US" w:eastAsia="zh-CN" w:bidi="ar-SA"/>
    </w:rPr>
  </w:style>
  <w:style w:type="character" w:customStyle="1" w:styleId="56">
    <w:name w:val="标题 Char"/>
    <w:link w:val="30"/>
    <w:autoRedefine/>
    <w:qFormat/>
    <w:uiPriority w:val="0"/>
    <w:rPr>
      <w:rFonts w:ascii="Cambria" w:hAnsi="Cambria"/>
      <w:b/>
      <w:bCs/>
      <w:kern w:val="2"/>
      <w:sz w:val="32"/>
      <w:szCs w:val="32"/>
      <w:lang w:bidi="ar-SA"/>
    </w:rPr>
  </w:style>
  <w:style w:type="character" w:customStyle="1" w:styleId="57">
    <w:name w:val="批注主题 Char"/>
    <w:link w:val="31"/>
    <w:autoRedefine/>
    <w:qFormat/>
    <w:uiPriority w:val="0"/>
    <w:rPr>
      <w:rFonts w:ascii="宋体"/>
      <w:b/>
      <w:bCs/>
      <w:sz w:val="28"/>
      <w:lang w:bidi="ar-SA"/>
    </w:rPr>
  </w:style>
  <w:style w:type="character" w:customStyle="1" w:styleId="58">
    <w:name w:val="标题4 Char Char"/>
    <w:link w:val="59"/>
    <w:autoRedefine/>
    <w:qFormat/>
    <w:uiPriority w:val="0"/>
    <w:rPr>
      <w:rFonts w:ascii="Arial" w:hAnsi="Arial"/>
      <w:b/>
      <w:bCs/>
      <w:sz w:val="24"/>
      <w:szCs w:val="32"/>
      <w:lang w:bidi="ar-SA"/>
    </w:rPr>
  </w:style>
  <w:style w:type="paragraph" w:customStyle="1" w:styleId="59">
    <w:name w:val="标题4"/>
    <w:basedOn w:val="4"/>
    <w:next w:val="18"/>
    <w:link w:val="58"/>
    <w:autoRedefine/>
    <w:qFormat/>
    <w:uiPriority w:val="0"/>
    <w:rPr>
      <w:rFonts w:ascii="Arial" w:hAnsi="Arial"/>
      <w:kern w:val="0"/>
      <w:sz w:val="24"/>
    </w:rPr>
  </w:style>
  <w:style w:type="character" w:customStyle="1" w:styleId="60">
    <w:name w:val="明显引用 Char"/>
    <w:link w:val="61"/>
    <w:autoRedefine/>
    <w:qFormat/>
    <w:uiPriority w:val="0"/>
    <w:rPr>
      <w:b/>
      <w:bCs/>
      <w:i/>
      <w:iCs/>
      <w:color w:val="4F81BD"/>
      <w:kern w:val="2"/>
      <w:sz w:val="21"/>
      <w:szCs w:val="22"/>
      <w:lang w:bidi="ar-SA"/>
    </w:rPr>
  </w:style>
  <w:style w:type="paragraph" w:customStyle="1" w:styleId="61">
    <w:name w:val="明显引用1"/>
    <w:basedOn w:val="1"/>
    <w:next w:val="1"/>
    <w:link w:val="60"/>
    <w:autoRedefine/>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autoRedefine/>
    <w:qFormat/>
    <w:uiPriority w:val="0"/>
    <w:rPr>
      <w:rFonts w:hint="eastAsia" w:ascii="宋体" w:hAnsi="宋体" w:eastAsia="宋体"/>
      <w:sz w:val="21"/>
      <w:szCs w:val="21"/>
    </w:rPr>
  </w:style>
  <w:style w:type="character" w:customStyle="1" w:styleId="63">
    <w:name w:val="样式 正文文本 Char Char"/>
    <w:link w:val="64"/>
    <w:autoRedefine/>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autoRedefine/>
    <w:qFormat/>
    <w:uiPriority w:val="0"/>
    <w:rPr>
      <w:rFonts w:hint="default" w:ascii="Times New Roman" w:hAnsi="Times New Roman" w:cs="Times New Roman"/>
      <w:sz w:val="28"/>
      <w:szCs w:val="28"/>
    </w:rPr>
  </w:style>
  <w:style w:type="character" w:customStyle="1" w:styleId="66">
    <w:name w:val="ca-31"/>
    <w:basedOn w:val="34"/>
    <w:autoRedefine/>
    <w:qFormat/>
    <w:uiPriority w:val="0"/>
    <w:rPr>
      <w:rFonts w:hint="eastAsia" w:ascii="宋体" w:hAnsi="宋体" w:eastAsia="宋体"/>
      <w:b/>
      <w:bCs/>
      <w:spacing w:val="-20"/>
      <w:sz w:val="28"/>
      <w:szCs w:val="28"/>
    </w:rPr>
  </w:style>
  <w:style w:type="character" w:customStyle="1" w:styleId="67">
    <w:name w:val="ca-01"/>
    <w:basedOn w:val="34"/>
    <w:autoRedefine/>
    <w:qFormat/>
    <w:uiPriority w:val="0"/>
    <w:rPr>
      <w:rFonts w:hint="eastAsia" w:ascii="宋体" w:hAnsi="宋体" w:eastAsia="宋体"/>
      <w:b/>
      <w:bCs/>
      <w:spacing w:val="-20"/>
      <w:sz w:val="44"/>
      <w:szCs w:val="44"/>
    </w:rPr>
  </w:style>
  <w:style w:type="character" w:customStyle="1" w:styleId="68">
    <w:name w:val="个人答复风格"/>
    <w:basedOn w:val="34"/>
    <w:autoRedefine/>
    <w:qFormat/>
    <w:uiPriority w:val="0"/>
    <w:rPr>
      <w:rFonts w:ascii="Arial" w:hAnsi="Arial" w:eastAsia="宋体" w:cs="Arial"/>
      <w:color w:val="auto"/>
      <w:sz w:val="20"/>
    </w:rPr>
  </w:style>
  <w:style w:type="character" w:customStyle="1" w:styleId="69">
    <w:name w:val="ca-11"/>
    <w:basedOn w:val="34"/>
    <w:autoRedefine/>
    <w:qFormat/>
    <w:uiPriority w:val="0"/>
    <w:rPr>
      <w:rFonts w:hint="eastAsia" w:ascii="宋体" w:hAnsi="宋体" w:eastAsia="宋体"/>
      <w:sz w:val="28"/>
      <w:szCs w:val="28"/>
    </w:rPr>
  </w:style>
  <w:style w:type="character" w:customStyle="1" w:styleId="70">
    <w:name w:val="个人撰写风格"/>
    <w:basedOn w:val="34"/>
    <w:autoRedefine/>
    <w:qFormat/>
    <w:uiPriority w:val="0"/>
    <w:rPr>
      <w:rFonts w:ascii="Arial" w:hAnsi="Arial" w:eastAsia="宋体" w:cs="Arial"/>
      <w:color w:val="auto"/>
      <w:sz w:val="20"/>
    </w:rPr>
  </w:style>
  <w:style w:type="character" w:customStyle="1" w:styleId="71">
    <w:name w:val="标题5 Char Char"/>
    <w:link w:val="72"/>
    <w:autoRedefine/>
    <w:qFormat/>
    <w:uiPriority w:val="0"/>
    <w:rPr>
      <w:rFonts w:ascii="Arial" w:hAnsi="Arial"/>
      <w:b/>
      <w:bCs/>
      <w:sz w:val="24"/>
      <w:szCs w:val="32"/>
      <w:lang w:bidi="ar-SA"/>
    </w:rPr>
  </w:style>
  <w:style w:type="paragraph" w:customStyle="1" w:styleId="72">
    <w:name w:val="标题5"/>
    <w:basedOn w:val="5"/>
    <w:link w:val="71"/>
    <w:autoRedefine/>
    <w:qFormat/>
    <w:uiPriority w:val="0"/>
    <w:rPr>
      <w:rFonts w:ascii="Arial" w:hAnsi="Arial"/>
      <w:kern w:val="0"/>
      <w:sz w:val="24"/>
    </w:rPr>
  </w:style>
  <w:style w:type="character" w:customStyle="1" w:styleId="73">
    <w:name w:val="引用 Char"/>
    <w:link w:val="74"/>
    <w:autoRedefine/>
    <w:qFormat/>
    <w:uiPriority w:val="0"/>
    <w:rPr>
      <w:i/>
      <w:iCs/>
      <w:color w:val="000000"/>
      <w:kern w:val="2"/>
      <w:sz w:val="21"/>
      <w:szCs w:val="22"/>
      <w:lang w:bidi="ar-SA"/>
    </w:rPr>
  </w:style>
  <w:style w:type="paragraph" w:customStyle="1" w:styleId="74">
    <w:name w:val="引用1"/>
    <w:basedOn w:val="1"/>
    <w:next w:val="1"/>
    <w:link w:val="73"/>
    <w:autoRedefine/>
    <w:qFormat/>
    <w:uiPriority w:val="0"/>
    <w:rPr>
      <w:i/>
      <w:iCs/>
      <w:color w:val="000000"/>
      <w:szCs w:val="22"/>
    </w:rPr>
  </w:style>
  <w:style w:type="character" w:customStyle="1" w:styleId="75">
    <w:name w:val="text"/>
    <w:basedOn w:val="34"/>
    <w:autoRedefine/>
    <w:qFormat/>
    <w:uiPriority w:val="0"/>
  </w:style>
  <w:style w:type="paragraph" w:customStyle="1" w:styleId="7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autoRedefine/>
    <w:qFormat/>
    <w:uiPriority w:val="0"/>
    <w:pPr>
      <w:widowControl/>
    </w:pPr>
    <w:rPr>
      <w:kern w:val="0"/>
      <w:sz w:val="32"/>
      <w:szCs w:val="32"/>
    </w:rPr>
  </w:style>
  <w:style w:type="paragraph" w:customStyle="1" w:styleId="79">
    <w:name w:val="Char1 Char Char Char Char Char Char Char Char Char Char Char"/>
    <w:basedOn w:val="1"/>
    <w:autoRedefine/>
    <w:qFormat/>
    <w:uiPriority w:val="0"/>
    <w:pPr>
      <w:pageBreakBefore/>
      <w:tabs>
        <w:tab w:val="left" w:pos="432"/>
      </w:tabs>
      <w:ind w:left="432" w:hanging="432"/>
    </w:pPr>
  </w:style>
  <w:style w:type="paragraph" w:customStyle="1" w:styleId="8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autoRedefine/>
    <w:qFormat/>
    <w:uiPriority w:val="0"/>
    <w:pPr>
      <w:jc w:val="left"/>
    </w:pPr>
    <w:rPr>
      <w:rFonts w:eastAsia="Times New Roman" w:cs="Calibri"/>
      <w:kern w:val="0"/>
      <w:sz w:val="20"/>
      <w:szCs w:val="21"/>
    </w:rPr>
  </w:style>
  <w:style w:type="paragraph" w:customStyle="1" w:styleId="82">
    <w:name w:val="pa-0"/>
    <w:basedOn w:val="1"/>
    <w:autoRedefine/>
    <w:qFormat/>
    <w:uiPriority w:val="0"/>
    <w:pPr>
      <w:widowControl/>
      <w:spacing w:line="480" w:lineRule="atLeast"/>
      <w:jc w:val="center"/>
    </w:pPr>
    <w:rPr>
      <w:rFonts w:ascii="宋体" w:hAnsi="宋体" w:cs="宋体"/>
      <w:kern w:val="0"/>
      <w:sz w:val="24"/>
    </w:rPr>
  </w:style>
  <w:style w:type="paragraph" w:customStyle="1" w:styleId="83">
    <w:name w:val="pa-1"/>
    <w:basedOn w:val="1"/>
    <w:autoRedefine/>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autoRedefine/>
    <w:qFormat/>
    <w:uiPriority w:val="0"/>
    <w:pPr>
      <w:pageBreakBefore/>
      <w:tabs>
        <w:tab w:val="left" w:pos="432"/>
      </w:tabs>
      <w:ind w:left="432" w:hanging="432"/>
    </w:pPr>
  </w:style>
  <w:style w:type="paragraph" w:styleId="8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34395</Words>
  <Characters>36294</Characters>
  <Lines>331</Lines>
  <Paragraphs>93</Paragraphs>
  <TotalTime>52</TotalTime>
  <ScaleCrop>false</ScaleCrop>
  <LinksUpToDate>false</LinksUpToDate>
  <CharactersWithSpaces>41445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2024-03-26T02:37:00Z</cp:lastPrinted>
  <dcterms:modified xsi:type="dcterms:W3CDTF">2024-03-26T02:43:03Z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66F2FF2ACF844E51BE311605376916E6</vt:lpwstr>
  </property>
</Properties>
</file>