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1"/>
        </w:numPr>
        <w:kinsoku/>
        <w:wordWrap/>
        <w:overflowPunct/>
        <w:topLinePunct w:val="0"/>
        <w:autoSpaceDE/>
        <w:autoSpaceDN/>
        <w:bidi w:val="0"/>
        <w:adjustRightInd/>
        <w:snapToGrid/>
        <w:spacing w:line="360" w:lineRule="auto"/>
        <w:ind w:right="-154"/>
        <w:jc w:val="center"/>
        <w:textAlignment w:val="auto"/>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en-US" w:eastAsia="zh-CN"/>
        </w:rPr>
        <w:t xml:space="preserve"> </w:t>
      </w:r>
      <w:r>
        <w:rPr>
          <w:rFonts w:hint="eastAsia" w:ascii="宋体" w:hAnsi="宋体" w:eastAsia="宋体" w:cs="宋体"/>
          <w:b/>
          <w:color w:val="auto"/>
          <w:kern w:val="0"/>
          <w:sz w:val="32"/>
          <w:szCs w:val="32"/>
          <w:highlight w:val="none"/>
        </w:rPr>
        <w:t>招标需求</w:t>
      </w:r>
      <w:bookmarkStart w:id="2" w:name="_GoBack"/>
      <w:bookmarkEnd w:id="2"/>
      <w:bookmarkStart w:id="0" w:name="_Toc25297"/>
    </w:p>
    <w:bookmarkEnd w:id="0"/>
    <w:p>
      <w:pPr>
        <w:pStyle w:val="5"/>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b/>
          <w:bCs/>
          <w:color w:val="auto"/>
          <w:sz w:val="24"/>
          <w:szCs w:val="24"/>
        </w:rPr>
      </w:pPr>
      <w:bookmarkStart w:id="1" w:name="_Toc11355"/>
      <w:r>
        <w:rPr>
          <w:rFonts w:hint="eastAsia" w:ascii="宋体" w:hAnsi="宋体" w:eastAsia="宋体" w:cs="宋体"/>
          <w:b/>
          <w:bCs/>
          <w:color w:val="auto"/>
          <w:sz w:val="24"/>
          <w:szCs w:val="24"/>
        </w:rPr>
        <w:t>一、项目需求</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1、主要对</w:t>
      </w:r>
      <w:r>
        <w:rPr>
          <w:rFonts w:hint="eastAsia" w:ascii="宋体" w:hAnsi="宋体" w:eastAsia="宋体" w:cs="宋体"/>
          <w:color w:val="auto"/>
          <w:kern w:val="0"/>
          <w:sz w:val="24"/>
          <w:szCs w:val="24"/>
          <w:highlight w:val="none"/>
          <w:lang w:eastAsia="zh-CN"/>
        </w:rPr>
        <w:t>杭州市特别生态功能区共同富裕城乡供水设施提升建设工程（一期）-河村片区</w:t>
      </w:r>
      <w:r>
        <w:rPr>
          <w:rFonts w:hint="eastAsia" w:ascii="宋体" w:hAnsi="宋体" w:eastAsia="宋体" w:cs="宋体"/>
          <w:bCs/>
          <w:color w:val="auto"/>
          <w:sz w:val="24"/>
          <w:szCs w:val="24"/>
        </w:rPr>
        <w:t>的</w:t>
      </w:r>
      <w:r>
        <w:rPr>
          <w:rFonts w:hint="eastAsia" w:ascii="宋体" w:hAnsi="宋体" w:eastAsia="宋体" w:cs="宋体"/>
          <w:bCs/>
          <w:color w:val="auto"/>
          <w:sz w:val="24"/>
          <w:szCs w:val="24"/>
          <w:lang w:val="en-US" w:eastAsia="zh-CN"/>
        </w:rPr>
        <w:t>原材料、混凝土浇筑质量、埋管深度、回填压实度等按相应规范及相关要求进行现场取样检测和试验，</w:t>
      </w:r>
      <w:r>
        <w:rPr>
          <w:rFonts w:hint="eastAsia" w:ascii="宋体" w:hAnsi="宋体" w:eastAsia="宋体" w:cs="宋体"/>
          <w:bCs/>
          <w:color w:val="auto"/>
          <w:sz w:val="24"/>
          <w:szCs w:val="24"/>
        </w:rPr>
        <w:t>并将</w:t>
      </w:r>
      <w:r>
        <w:rPr>
          <w:rFonts w:hint="eastAsia" w:ascii="宋体" w:hAnsi="宋体" w:eastAsia="宋体" w:cs="宋体"/>
          <w:bCs/>
          <w:color w:val="auto"/>
          <w:sz w:val="24"/>
          <w:szCs w:val="24"/>
          <w:lang w:val="en-US" w:eastAsia="zh-CN"/>
        </w:rPr>
        <w:t>检测、试验</w:t>
      </w:r>
      <w:r>
        <w:rPr>
          <w:rFonts w:hint="eastAsia" w:ascii="宋体" w:hAnsi="宋体" w:eastAsia="宋体" w:cs="宋体"/>
          <w:bCs/>
          <w:color w:val="auto"/>
          <w:sz w:val="24"/>
          <w:szCs w:val="24"/>
        </w:rPr>
        <w:t>结果与</w:t>
      </w:r>
      <w:r>
        <w:rPr>
          <w:rFonts w:hint="eastAsia" w:ascii="宋体" w:hAnsi="宋体" w:eastAsia="宋体" w:cs="宋体"/>
          <w:bCs/>
          <w:color w:val="auto"/>
          <w:sz w:val="24"/>
          <w:szCs w:val="24"/>
          <w:lang w:val="en-US" w:eastAsia="zh-CN"/>
        </w:rPr>
        <w:t>相</w:t>
      </w:r>
      <w:r>
        <w:rPr>
          <w:rFonts w:hint="eastAsia" w:ascii="宋体" w:hAnsi="宋体" w:eastAsia="宋体" w:cs="宋体"/>
          <w:bCs/>
          <w:color w:val="auto"/>
          <w:sz w:val="24"/>
          <w:szCs w:val="24"/>
        </w:rPr>
        <w:t>关标准、设计要求进行比较</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判定</w:t>
      </w:r>
      <w:r>
        <w:rPr>
          <w:rFonts w:hint="eastAsia" w:ascii="宋体" w:hAnsi="宋体" w:eastAsia="宋体" w:cs="宋体"/>
          <w:bCs/>
          <w:color w:val="auto"/>
          <w:sz w:val="24"/>
          <w:szCs w:val="24"/>
          <w:lang w:val="en-US" w:eastAsia="zh-CN"/>
        </w:rPr>
        <w:t>和</w:t>
      </w:r>
      <w:r>
        <w:rPr>
          <w:rFonts w:hint="eastAsia" w:ascii="宋体" w:hAnsi="宋体" w:eastAsia="宋体" w:cs="宋体"/>
          <w:bCs/>
          <w:color w:val="auto"/>
          <w:sz w:val="24"/>
          <w:szCs w:val="24"/>
        </w:rPr>
        <w:t>出具检测</w:t>
      </w:r>
      <w:r>
        <w:rPr>
          <w:rFonts w:hint="eastAsia" w:ascii="宋体" w:hAnsi="宋体" w:eastAsia="宋体" w:cs="宋体"/>
          <w:bCs/>
          <w:color w:val="auto"/>
          <w:sz w:val="24"/>
          <w:szCs w:val="24"/>
          <w:lang w:val="en-US" w:eastAsia="zh-CN"/>
        </w:rPr>
        <w:t>检验</w:t>
      </w:r>
      <w:r>
        <w:rPr>
          <w:rFonts w:hint="eastAsia" w:ascii="宋体" w:hAnsi="宋体" w:eastAsia="宋体" w:cs="宋体"/>
          <w:bCs/>
          <w:color w:val="auto"/>
          <w:sz w:val="24"/>
          <w:szCs w:val="24"/>
        </w:rPr>
        <w:t>报告。</w:t>
      </w:r>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firstLine="0"/>
        <w:textAlignment w:val="auto"/>
        <w:rPr>
          <w:rFonts w:hint="eastAsia" w:ascii="宋体" w:hAnsi="宋体" w:eastAsia="宋体" w:cs="宋体"/>
          <w:bCs/>
          <w:color w:val="auto"/>
          <w:sz w:val="24"/>
          <w:szCs w:val="24"/>
        </w:rPr>
      </w:pPr>
      <w:r>
        <w:rPr>
          <w:rFonts w:hint="eastAsia" w:ascii="宋体" w:hAnsi="宋体" w:eastAsia="宋体" w:cs="宋体"/>
          <w:b/>
          <w:color w:val="auto"/>
          <w:sz w:val="24"/>
          <w:szCs w:val="24"/>
        </w:rPr>
        <w:t>2、项目内容范围：</w:t>
      </w:r>
      <w:r>
        <w:rPr>
          <w:rFonts w:hint="eastAsia" w:ascii="宋体" w:hAnsi="宋体" w:eastAsia="宋体" w:cs="宋体"/>
          <w:bCs/>
          <w:color w:val="auto"/>
          <w:sz w:val="24"/>
          <w:szCs w:val="24"/>
        </w:rPr>
        <w:t>按县政府相关文件规定可直接委托的检测项目。</w:t>
      </w:r>
    </w:p>
    <w:p>
      <w:pPr>
        <w:pStyle w:val="11"/>
        <w:spacing w:line="312" w:lineRule="auto"/>
        <w:ind w:firstLine="0" w:firstLineChars="0"/>
        <w:jc w:val="center"/>
        <w:rPr>
          <w:rFonts w:hint="eastAsia" w:ascii="宋体" w:hAnsi="宋体" w:eastAsia="宋体" w:cs="宋体"/>
          <w:b/>
          <w:bCs/>
          <w:snapToGrid w:val="0"/>
          <w:color w:val="auto"/>
          <w:sz w:val="24"/>
          <w:szCs w:val="24"/>
        </w:rPr>
      </w:pPr>
      <w:r>
        <w:rPr>
          <w:rFonts w:hint="eastAsia" w:ascii="宋体" w:hAnsi="宋体" w:eastAsia="宋体" w:cs="宋体"/>
          <w:b/>
          <w:bCs/>
          <w:snapToGrid w:val="0"/>
          <w:color w:val="auto"/>
          <w:sz w:val="24"/>
          <w:szCs w:val="24"/>
        </w:rPr>
        <w:t>招标工程量清单</w:t>
      </w:r>
    </w:p>
    <w:tbl>
      <w:tblPr>
        <w:tblStyle w:val="9"/>
        <w:tblW w:w="88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0"/>
        <w:gridCol w:w="1464"/>
        <w:gridCol w:w="1479"/>
        <w:gridCol w:w="3435"/>
        <w:gridCol w:w="87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分部工程/项目名称</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部位</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检测内容</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河村-洪圻</w:t>
            </w: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沟槽开挖</w:t>
            </w:r>
          </w:p>
        </w:tc>
        <w:tc>
          <w:tcPr>
            <w:tcW w:w="14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槽底高程</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槽底路线每侧宽度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沟槽坡度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沟槽开挖及回填（9.1Km）</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管道基础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管道两侧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（管顶以上500mm）两侧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（管顶以上500mm)上部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管顶500-1000mm</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垫层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中线每侧宽度、高程、厚度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回填料</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中粗砂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砂砾料</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粘土</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最大干密度、最优含水率</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管道工程（9.1Km）</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管道密闭性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水压试验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段次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井室</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平面轴向位置、井室尺寸、高程等</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支墩</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水平三通支墩</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平面轴向位置（轴向、垂直轴向）、支撑面中心高程、结构断面尺寸（长、宽、厚）</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水平弯管支墩</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平面轴向位置（轴向、垂直轴向）、支撑面中心高程、结构断面尺寸（长、宽、厚）</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砼路面恢复</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抗压强度（取芯法）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恢复排水沟</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抗压强度（取芯法）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泵房基础</w:t>
            </w:r>
          </w:p>
        </w:tc>
        <w:tc>
          <w:tcPr>
            <w:tcW w:w="14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地基基础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承载力（浅层平板载荷试验）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混凝土基础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抗压强度（回弹法）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洪圻-方村</w:t>
            </w: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沟槽开挖</w:t>
            </w:r>
          </w:p>
        </w:tc>
        <w:tc>
          <w:tcPr>
            <w:tcW w:w="14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槽底高程</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槽底路线每侧宽度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沟槽坡度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沟槽回填（4.23Km）</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管道基础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管道两侧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（管顶以上500mm）两侧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（管顶以上500mm)上部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管顶500-1000mm</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垫层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中线每侧宽度、高程、厚度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回填料</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中粗砂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砂砾料</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粘土</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最大干密度、最优含水率</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管道工程（4.23Km）</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管道密闭性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水压试验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段次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井室</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平面轴向位置、井室尺寸、高程等</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支墩</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平面轴向位置（轴向、垂直轴向）、支撑面中心高程、结构断面尺寸（长、宽、厚）</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砼路面恢复</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抗压强度（取芯法）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恢复排水沟</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抗压强度（取芯法）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朱陈村-陆家村</w:t>
            </w: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沟槽开挖</w:t>
            </w:r>
          </w:p>
        </w:tc>
        <w:tc>
          <w:tcPr>
            <w:tcW w:w="14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槽底高程</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槽底路线每侧宽度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沟槽坡度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沟槽回填（5.77Km，约5700㎡）</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管道基础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管道两侧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（管顶以上500mm）两侧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（管顶以上500mm)上部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管顶500-1000mm</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垫层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中线每侧宽度、高程、厚度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回填料</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中粗砂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砂砾料</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粘土</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最大干密度、最优含水率</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管道工程（5.77Km）</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管道密闭性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水压试验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段次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井室</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平面轴向位置、井室尺寸、高程等</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砼路面恢复</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抗压强度（取芯法）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恢复排水沟</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抗压强度（取芯法）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厚屏村-驮坑村</w:t>
            </w: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沟槽开挖</w:t>
            </w:r>
          </w:p>
        </w:tc>
        <w:tc>
          <w:tcPr>
            <w:tcW w:w="14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槽底高程</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槽底路线每侧宽度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沟槽坡度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沟槽回填（5.857Km，约5800㎡）</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管道基础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管道两侧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（管顶以上500mm）两侧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（管顶以上500mm)上部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管顶500-1000mm</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垫层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中线每侧宽度、高程、厚度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回填料</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中粗砂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砂砾料</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粘土</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最大干密度、最优含水率</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管道工程（5.857Km）</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管道密闭性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水压试验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段次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井室</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平面轴向位置、井室尺寸、高程等</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砼路面恢复（5.3km)</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抗压强度（取芯法）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坑下村-五星村</w:t>
            </w: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沟槽开挖</w:t>
            </w:r>
          </w:p>
        </w:tc>
        <w:tc>
          <w:tcPr>
            <w:tcW w:w="14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槽底高程</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槽底路线每侧宽度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沟槽坡度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沟槽回填（5.756Km，约5700㎡）</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管道基础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管道两侧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（管顶以上500mm）两侧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（管顶以上500mm)上部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管顶500-1000mm</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压实度（灌砂法/环刀法）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垫层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中线每侧宽度、高程、厚度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回填料</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中粗砂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砂砾料</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粘土</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最大干密度、最优含水率</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管道工程（5.756Km）</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管道密闭性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水压试验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段次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井室</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平面轴向位置、井室尺寸、高程等</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砼路面恢复（2.2km)</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抗压强度（取芯法）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主要管材</w:t>
            </w: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球墨铸铁管</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Dn600/K9</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抗拉强度、延伸率、布氏硬度、厚度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PE管</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Dn250</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物理性能、化学性能</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PE管</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Dn200</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物理性能、化学性能</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PE管</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Dn160</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物理性能、化学性能</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PE管</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Dn110</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物理性能、化学性能</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水厂工程</w:t>
            </w: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清水池</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侧墙、底板</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抗压强度（回弹法）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钢筋保护层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钢筋保护层厚度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池体</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平面轴向位置、井室尺寸、高程等</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基底回填</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压度度（环刀法/灌砂法）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排泥水调节池</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侧墙、底板</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抗压强度（回弹法）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钢筋保护层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钢筋保护层厚度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池体</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平面轴向位置、井室尺寸、高程等</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基底回填</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压度度（环刀法/灌砂法）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污泥干化池</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侧墙、底板</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抗压强度（回弹法）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钢筋保护层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钢筋保护层厚度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池体</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平面轴向位置、井室尺寸、高程等</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基底回填</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压度度（环刀法/灌砂法）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一体化设备基础</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基底回填</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压度度（环刀法/灌砂法）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c20垫层</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抗压强度（取芯法）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c30基础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抗压强度（回弹法）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综合管理用房</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梁、板、柱</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抗压强度（回弹法）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送水泵房</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梁、板、柱</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抗压强度（回弹法）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其它</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回填料</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最大干密度、最优含水率/最小干密度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混凝土耐久性</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抗渗（P6）（机口取样）</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地基</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承载力（浅层平板载荷试验）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电气部分</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母线</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绝缘电阻、耐压试验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电缆</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绝缘电阻、耐压试验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避雷设备</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绝缘电阻、耐压试验、测量泄漏电流试验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变压器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继电保护测试</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原材料</w:t>
            </w: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水泥</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厂房工程</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安定性、标准稠度用水量、胶砂流动度、胶砂强度、凝结时间、细度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砂</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厂房工程</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表观密度、含泥量、颗粒级配、泥块含量、吸水率、有机质含量、细度模数</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碎石</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厂房工程</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压碎指标值,针片状颗粒含量,表观密度,超逊径颗粒含量,含泥量,泥块含量,吸水率、表面含水率、软弱颗粒含量</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钢筋</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厂房工程</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抗拉强度、伸长率、反复弯曲、重量偏差</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钢板止水</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厂房工程</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抗拉强度、延伸率、厚度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w:t>
            </w:r>
          </w:p>
        </w:tc>
      </w:tr>
    </w:tbl>
    <w:p>
      <w:pPr>
        <w:pStyle w:val="11"/>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注：实际检测中根据变更和现场实际情况可以适当调整。</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二、质量要求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（1）检测依据和标准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color w:val="auto"/>
          <w:sz w:val="24"/>
          <w:szCs w:val="24"/>
        </w:rPr>
        <w:t>中标单位检测应符合国家和行业颁布的技术标准和规程规范规定的技术要求(不限于以下标准)，保证检测质量。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《浙江省水利工程质量检测管理办法》（浙水建：﹝2017﹞23 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《给水排水管道工程施工及验收规范》（GB50268-2008）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《水工混凝土试验规程》SL352-2006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《混凝土结构工程施工质量验收规范》（GB50204—2015）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《水工混凝土施工规范》SL677-2014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《水利水电工程施工质量检验与评定规程》SL176-2007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《土工试验规程》SL237-1999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《回弹法检测混凝土抗压强度技术规程》JGJ/T23-2011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《钻芯法检测混凝土强度技术规程》JGJ/T384-2016 等。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《水利水电工程物探规程》SL326-2005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《水利水电工程单元工程施工质量验收评定标准—土石方工程》SL631-2012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《水利水电工程单元工程施工质量验收评定标准—混凝土工程》SL632-201241</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《水利水电工程单元工程施工质量验收评定标准—地基处理与基础工程》SL633-2012</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给水用聚乙烯(PE)管道系统第2部分：管材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GB T 13663.2-2018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等本条款中引用的标准和规程规范若有修订，应执行其最新版本。本合同条款中引用的标准和规程规范若有修订，应执行其最新版本。</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（2）检测质量要求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检测过程、精度、结论等符合国家、行业等现行规范标准，检测报告符合水利工程质量质量监督部门的要求，能满足工程竣工验收使用，检测中发现的施工问题及时通知、通告采购单位，并协助采购单位督促施工单位、监理单位等工程相关方落实整改。</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三、服务要求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合同签订生效后7天内，中标单位派检测人员进场，并根据工程施工进度开展检测工作，出具检测报告至工程完工验收通过。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各单项工程检测在接到采购单位通知48小时内到位，不得影响工程施工的下一道施工工序，否则按照违约处理。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eastAsia="zh-CN"/>
        </w:rPr>
        <w:t>四</w:t>
      </w:r>
      <w:r>
        <w:rPr>
          <w:rFonts w:hint="eastAsia" w:ascii="宋体" w:hAnsi="宋体" w:eastAsia="宋体" w:cs="宋体"/>
          <w:b/>
          <w:color w:val="000000"/>
          <w:sz w:val="24"/>
          <w:szCs w:val="24"/>
          <w:highlight w:val="none"/>
        </w:rPr>
        <w:t>、商务</w:t>
      </w:r>
      <w:bookmarkEnd w:id="1"/>
      <w:r>
        <w:rPr>
          <w:rFonts w:hint="eastAsia" w:ascii="宋体" w:hAnsi="宋体" w:eastAsia="宋体" w:cs="宋体"/>
          <w:b/>
          <w:color w:val="000000"/>
          <w:sz w:val="24"/>
          <w:szCs w:val="24"/>
          <w:highlight w:val="none"/>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lang w:eastAsia="zh-CN"/>
        </w:rPr>
      </w:pPr>
      <w:r>
        <w:rPr>
          <w:rFonts w:hint="eastAsia" w:ascii="宋体" w:hAnsi="宋体" w:eastAsia="宋体" w:cs="宋体"/>
          <w:snapToGrid w:val="0"/>
          <w:color w:val="auto"/>
          <w:sz w:val="24"/>
          <w:szCs w:val="24"/>
        </w:rPr>
        <w:t>1、付款方式：第一次支付：完成合同任务60%支付</w:t>
      </w:r>
      <w:r>
        <w:rPr>
          <w:rFonts w:hint="eastAsia" w:ascii="宋体" w:hAnsi="宋体" w:eastAsia="宋体" w:cs="宋体"/>
          <w:snapToGrid w:val="0"/>
          <w:color w:val="auto"/>
          <w:sz w:val="24"/>
          <w:szCs w:val="24"/>
          <w:lang w:eastAsia="zh-CN"/>
        </w:rPr>
        <w:t>合同总价的</w:t>
      </w:r>
      <w:r>
        <w:rPr>
          <w:rFonts w:hint="eastAsia" w:ascii="宋体" w:hAnsi="宋体" w:eastAsia="宋体" w:cs="宋体"/>
          <w:snapToGrid w:val="0"/>
          <w:color w:val="auto"/>
          <w:sz w:val="24"/>
          <w:szCs w:val="24"/>
        </w:rPr>
        <w:t>50%</w:t>
      </w:r>
      <w:r>
        <w:rPr>
          <w:rFonts w:hint="eastAsia" w:ascii="宋体" w:hAnsi="宋体" w:eastAsia="宋体" w:cs="宋体"/>
          <w:snapToGrid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第二次支付：全部完工，并提交监督检测报告后按服务期内实际完成的工作量再支付50%。（最终结算金额以委托方实际委托的检测内容、数量和投标人中标单价结算，超出本次招标检测内容部分，按《浙江省水利工程质量检测费用参考价格及说明》85折执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有关合同款的支付，由采购人的委托代理人审定签字后有效。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付款按财政政策执行，因成交供应商自身原因致使项目未完成以及不符合财政资金支付时间要求等原因造成不能及时付款的，采购单位不承担责任。（所有款项的支付应由中标单位提出申请，并附证明材料，经采购单位审定后才办理支付手续。）</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2、完成时间：自合同签订之日起至工程通过完工验收之日止。</w:t>
      </w:r>
    </w:p>
    <w:p>
      <w:r>
        <w:rPr>
          <w:rFonts w:hint="eastAsia" w:ascii="宋体" w:hAnsi="宋体" w:eastAsia="宋体" w:cs="宋体"/>
          <w:snapToGrid w:val="0"/>
          <w:color w:val="auto"/>
          <w:sz w:val="24"/>
          <w:szCs w:val="24"/>
        </w:rPr>
        <w:t>3、实施地点：淳安县境内。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458D76"/>
    <w:multiLevelType w:val="singleLevel"/>
    <w:tmpl w:val="63458D76"/>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OTA2YjZhNjliZmE4ZWFhZjE0NzMwNzhkZjMyMWQifQ=="/>
  </w:docVars>
  <w:rsids>
    <w:rsidRoot w:val="00000000"/>
    <w:rsid w:val="1A77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表格文字"/>
    <w:basedOn w:val="1"/>
    <w:next w:val="3"/>
    <w:qFormat/>
    <w:uiPriority w:val="0"/>
  </w:style>
  <w:style w:type="paragraph" w:styleId="3">
    <w:name w:val="Body Text"/>
    <w:basedOn w:val="1"/>
    <w:next w:val="4"/>
    <w:uiPriority w:val="0"/>
    <w:pPr>
      <w:spacing w:after="120" w:afterLines="0"/>
    </w:pPr>
    <w:rPr>
      <w:sz w:val="28"/>
    </w:rPr>
  </w:style>
  <w:style w:type="paragraph" w:styleId="4">
    <w:name w:val="Body Text First Indent"/>
    <w:basedOn w:val="3"/>
    <w:next w:val="1"/>
    <w:uiPriority w:val="0"/>
    <w:pPr>
      <w:ind w:firstLine="420" w:firstLineChars="100"/>
    </w:pPr>
    <w:rPr>
      <w:sz w:val="21"/>
      <w:szCs w:val="22"/>
    </w:rPr>
  </w:style>
  <w:style w:type="paragraph" w:styleId="5">
    <w:name w:val="Normal Indent"/>
    <w:basedOn w:val="1"/>
    <w:next w:val="6"/>
    <w:uiPriority w:val="0"/>
    <w:pPr>
      <w:ind w:firstLine="420"/>
    </w:pPr>
    <w:rPr>
      <w:szCs w:val="20"/>
    </w:rPr>
  </w:style>
  <w:style w:type="paragraph" w:styleId="6">
    <w:name w:val="Body Text Indent"/>
    <w:basedOn w:val="1"/>
    <w:next w:val="5"/>
    <w:uiPriority w:val="0"/>
    <w:pPr>
      <w:spacing w:line="200" w:lineRule="exact"/>
      <w:ind w:firstLine="301"/>
    </w:pPr>
    <w:rPr>
      <w:rFonts w:ascii="宋体" w:hAnsi="Courier New"/>
      <w:spacing w:val="-4"/>
      <w:sz w:val="18"/>
      <w:szCs w:val="20"/>
    </w:rPr>
  </w:style>
  <w:style w:type="paragraph" w:styleId="7">
    <w:name w:val="footer"/>
    <w:basedOn w:val="1"/>
    <w:uiPriority w:val="0"/>
    <w:pPr>
      <w:tabs>
        <w:tab w:val="center" w:pos="4153"/>
        <w:tab w:val="right" w:pos="8306"/>
      </w:tabs>
      <w:snapToGrid w:val="0"/>
      <w:jc w:val="left"/>
    </w:pPr>
    <w:rPr>
      <w:rFonts w:eastAsia="黑体"/>
      <w:snapToGrid w:val="0"/>
      <w:kern w:val="0"/>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rFonts w:eastAsia="仿宋_GB2312"/>
      <w:sz w:val="18"/>
      <w:szCs w:val="20"/>
    </w:rPr>
  </w:style>
  <w:style w:type="paragraph" w:customStyle="1" w:styleId="11">
    <w:name w:val="①正文"/>
    <w:basedOn w:val="1"/>
    <w:qFormat/>
    <w:uiPriority w:val="0"/>
    <w:pPr>
      <w:spacing w:line="360" w:lineRule="auto"/>
      <w:ind w:firstLine="48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WJ1413422648</cp:lastModifiedBy>
  <dcterms:modified xsi:type="dcterms:W3CDTF">2023-05-04T08:22:22Z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3DBCCF0A488D438986AA120DF46B2847_12</vt:lpwstr>
  </property>
</Properties>
</file>