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9F" w:rsidRDefault="00DD229F" w:rsidP="00DD229F">
      <w:pPr>
        <w:keepNext/>
        <w:keepLines/>
        <w:spacing w:line="400" w:lineRule="exact"/>
        <w:jc w:val="center"/>
        <w:outlineLvl w:val="1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招标需求</w:t>
      </w:r>
    </w:p>
    <w:p w:rsidR="00DD229F" w:rsidRDefault="00DD229F" w:rsidP="00DD229F">
      <w:pPr>
        <w:pStyle w:val="a0"/>
        <w:ind w:firstLine="241"/>
        <w:rPr>
          <w:rFonts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一、实施范围</w:t>
      </w:r>
    </w:p>
    <w:tbl>
      <w:tblPr>
        <w:tblW w:w="9036" w:type="dxa"/>
        <w:tblInd w:w="96" w:type="dxa"/>
        <w:tblLook w:val="04A0"/>
      </w:tblPr>
      <w:tblGrid>
        <w:gridCol w:w="541"/>
        <w:gridCol w:w="3489"/>
        <w:gridCol w:w="2222"/>
        <w:gridCol w:w="2784"/>
      </w:tblGrid>
      <w:tr w:rsidR="00DD229F" w:rsidTr="00DD229F">
        <w:trPr>
          <w:trHeight w:val="3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财产名称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2021年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应保险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金额</w:t>
            </w: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br/>
              <w:t>（万元）</w:t>
            </w:r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DD229F" w:rsidTr="00DD229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DD229F" w:rsidTr="00DD229F">
        <w:trPr>
          <w:trHeight w:val="318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一、建筑物（财产综合险）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229F" w:rsidTr="00DD229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南苑农贸市场、集团大楼房产（工行）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13571.96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2021年实际投保金额10450万元</w:t>
            </w:r>
          </w:p>
        </w:tc>
      </w:tr>
      <w:tr w:rsidR="00DD229F" w:rsidTr="00DD229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骑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龙弄资产</w:t>
            </w:r>
            <w:proofErr w:type="gramEnd"/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3393.2</w:t>
            </w:r>
          </w:p>
        </w:tc>
        <w:tc>
          <w:tcPr>
            <w:tcW w:w="27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2020年投保金额11073.05万元，其中灵猫岛1200万元</w:t>
            </w:r>
          </w:p>
        </w:tc>
      </w:tr>
      <w:tr w:rsidR="00DD229F" w:rsidTr="00DD229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财产综合险（房产类）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9872.86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DD229F" w:rsidTr="00DD229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玉兰花园65间、一家山水6间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2874.9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新安大街61号（农行）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8000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集团商务大楼（农行）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17000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</w:tc>
      </w:tr>
      <w:tr w:rsidR="00DD229F" w:rsidTr="00DD229F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绿园新村53、57号共44处（杭州银行）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31160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（按银行要求金额投保）11886.6万元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农副产品批发市场一期（信用社）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4042.37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西园、火炉尖农贸市场2处（工行）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3025.1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规划展示大楼（民生）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8000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阳光路719、989号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738.32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启用时在保</w:t>
            </w:r>
          </w:p>
        </w:tc>
      </w:tr>
      <w:tr w:rsidR="00DD229F" w:rsidTr="00DD229F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二、机损险、财产险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1.机器设备、主干管网类（财险）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6572.87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2020年投保金额6571万元</w:t>
            </w:r>
          </w:p>
        </w:tc>
      </w:tr>
      <w:tr w:rsidR="00DD229F" w:rsidTr="00DD229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2.附加机损险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3139.87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2020年投保金额3142万元</w:t>
            </w:r>
          </w:p>
        </w:tc>
      </w:tr>
      <w:tr w:rsidR="00DD229F" w:rsidTr="00DD229F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3.公共责任险【水务公司的标志、防护措施（警示牌、三角彩旗、锥形桶、铁板盖）、水表箱以及市改供排水设备等物件引发的意外事故。】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三、电梯安全综合险类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1.千岛湖农贸市场电梯财产附加险（15部）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316.24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2.千岛湖农贸市场电梯机损险（15部）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316.24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捷城物业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电梯财产附加险（4部）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104.59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4.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捷城物业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电梯财产附加险（4部）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104.59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5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四、公众责任附加险（5个农贸市场、7个停车场）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1、财产损失险（5个市场）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2、附加电梯责任险（货客梯19部）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1140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保额60万元/部</w:t>
            </w:r>
          </w:p>
        </w:tc>
      </w:tr>
      <w:tr w:rsidR="00DD229F" w:rsidTr="00DD229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3、农贸市场公众责任险（每个市场200万元）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1000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4、物业公司停车场7个（每个停车场200万元附加险100万元）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2100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新增龙门隧道停车场1个</w:t>
            </w:r>
          </w:p>
        </w:tc>
      </w:tr>
      <w:tr w:rsidR="00DD229F" w:rsidTr="00DD229F">
        <w:trPr>
          <w:trHeight w:val="6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五、机动车辆（28辆非经营性）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247.89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以2020年投保金额预估</w:t>
            </w:r>
          </w:p>
        </w:tc>
      </w:tr>
      <w:tr w:rsidR="00DD229F" w:rsidTr="00DD229F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1.车辆损失险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247.89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车上人员责任险（驾驶员、乘员）10万元/座，第三责任险100万元起步</w:t>
            </w:r>
          </w:p>
        </w:tc>
      </w:tr>
      <w:tr w:rsidR="00DD229F" w:rsidTr="00DD229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2.机动车强制险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247.89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255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六、其他险（责任险）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1.自行车（辆）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1500辆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按每辆自行车投保金额计算，2020年1200辆，20元保费/辆</w:t>
            </w:r>
          </w:p>
        </w:tc>
      </w:tr>
      <w:tr w:rsidR="00DD229F" w:rsidTr="00DD229F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2.游泳池（内河船舶一切保险）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964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2013年建、浙淳安趸 228（秀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水广场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游泳池），结构刚质，长67.83米，宽32米，深1.5米，889吨。</w:t>
            </w:r>
          </w:p>
        </w:tc>
      </w:tr>
      <w:tr w:rsidR="00DD229F" w:rsidTr="00DD229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3.食堂食品安全险（农贸市场、水务公司食堂）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2家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229F" w:rsidTr="00DD229F">
        <w:trPr>
          <w:trHeight w:val="9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4.团体意外伤害(水务、水务工程、城建发展、杭千房产）约240人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9F" w:rsidRDefault="00DD229F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30万元（团体人身意外伤害险）+3万元（附加意外医疗费）+1.8万元（附加意外伤害住院津贴）,住院补贴200元/天</w:t>
            </w:r>
          </w:p>
        </w:tc>
      </w:tr>
    </w:tbl>
    <w:p w:rsidR="00DD229F" w:rsidRDefault="00DD229F" w:rsidP="00DD229F">
      <w:pPr>
        <w:shd w:val="clear" w:color="auto" w:fill="FFFFFF"/>
        <w:snapToGrid w:val="0"/>
        <w:spacing w:line="312" w:lineRule="auto"/>
        <w:ind w:firstLineChars="147" w:firstLine="354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二、采购方式</w:t>
      </w:r>
      <w:r>
        <w:rPr>
          <w:rFonts w:ascii="宋体" w:hAnsi="宋体" w:hint="eastAsia"/>
          <w:sz w:val="24"/>
          <w:szCs w:val="24"/>
        </w:rPr>
        <w:t>。车辆、财产、责任及意外保险采购采用公开招标方式，组织专家及用户单位代表，对投标人的总体实力、适用保险条款、保费报价、赔款时限、承保服务、理赔服务、其它优惠条件（如增值服务内容、增值服务比例、金额）的承诺等内容进行综合评价，择优选定一家保险公司，服务期为三年。</w:t>
      </w:r>
    </w:p>
    <w:p w:rsidR="007F7617" w:rsidRPr="00DD229F" w:rsidRDefault="007F7617"/>
    <w:sectPr w:rsidR="007F7617" w:rsidRPr="00DD229F" w:rsidSect="007F7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229F"/>
    <w:rsid w:val="007F7617"/>
    <w:rsid w:val="00DD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22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D229F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D229F"/>
    <w:rPr>
      <w:rFonts w:ascii="Times New Roman" w:eastAsia="宋体" w:hAnsi="Times New Roman" w:cs="Times New Roman"/>
      <w:szCs w:val="21"/>
    </w:rPr>
  </w:style>
  <w:style w:type="paragraph" w:styleId="a0">
    <w:name w:val="Body Text First Indent"/>
    <w:basedOn w:val="a4"/>
    <w:link w:val="Char0"/>
    <w:uiPriority w:val="99"/>
    <w:unhideWhenUsed/>
    <w:rsid w:val="00DD229F"/>
    <w:pPr>
      <w:spacing w:before="100" w:beforeAutospacing="1" w:after="0"/>
      <w:ind w:firstLineChars="100" w:firstLine="420"/>
    </w:pPr>
    <w:rPr>
      <w:rFonts w:ascii="Calibri" w:hAnsi="Calibri" w:cs="宋体"/>
    </w:rPr>
  </w:style>
  <w:style w:type="character" w:customStyle="1" w:styleId="Char0">
    <w:name w:val="正文首行缩进 Char"/>
    <w:basedOn w:val="Char"/>
    <w:link w:val="a0"/>
    <w:uiPriority w:val="99"/>
    <w:rsid w:val="00DD229F"/>
    <w:rPr>
      <w:rFonts w:ascii="Calibri" w:hAnsi="Calibri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Company>微软中国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2021-04-08T02:16:00Z</dcterms:created>
  <dcterms:modified xsi:type="dcterms:W3CDTF">2021-04-08T02:17:00Z</dcterms:modified>
</cp:coreProperties>
</file>